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cstheme="minorEastAsia"/>
          <w:b/>
          <w:sz w:val="28"/>
          <w:lang w:val="en-US" w:eastAsia="zh-CN"/>
        </w:rPr>
      </w:pPr>
      <w:r>
        <w:rPr>
          <w:rFonts w:hint="eastAsia" w:asciiTheme="minorEastAsia" w:hAnsiTheme="minorEastAsia" w:cstheme="minorEastAsia"/>
          <w:b/>
          <w:sz w:val="28"/>
          <w:lang w:val="en-US" w:eastAsia="zh-CN"/>
        </w:rPr>
        <w:t>PE市场分析与展望</w:t>
      </w:r>
    </w:p>
    <w:p>
      <w:pPr>
        <w:spacing w:line="360" w:lineRule="auto"/>
        <w:jc w:val="center"/>
        <w:rPr>
          <w:rFonts w:asciiTheme="minorEastAsia" w:hAnsiTheme="minorEastAsia" w:cstheme="minorEastAsia"/>
          <w:b/>
          <w:sz w:val="28"/>
        </w:rPr>
      </w:pPr>
      <w:r>
        <w:rPr>
          <w:rFonts w:hint="eastAsia" w:asciiTheme="minorEastAsia" w:hAnsiTheme="minorEastAsia" w:cstheme="minorEastAsia"/>
          <w:b/>
          <w:sz w:val="28"/>
        </w:rPr>
        <w:t>——王保营</w:t>
      </w:r>
    </w:p>
    <w:p>
      <w:pPr>
        <w:spacing w:line="360" w:lineRule="auto"/>
        <w:jc w:val="right"/>
        <w:rPr>
          <w:rFonts w:asciiTheme="minorEastAsia" w:hAnsiTheme="minorEastAsia" w:cstheme="minorEastAsia"/>
          <w:b/>
          <w:sz w:val="28"/>
        </w:rPr>
      </w:pPr>
      <w:r>
        <w:rPr>
          <w:rFonts w:hint="eastAsia" w:asciiTheme="minorEastAsia" w:hAnsiTheme="minorEastAsia" w:cstheme="minorEastAsia"/>
          <w:b/>
          <w:sz w:val="28"/>
        </w:rPr>
        <w:t>期货从业资格号:F3044723</w:t>
      </w:r>
    </w:p>
    <w:p>
      <w:pPr>
        <w:spacing w:line="360" w:lineRule="auto"/>
        <w:jc w:val="right"/>
        <w:rPr>
          <w:rFonts w:hint="eastAsia" w:asciiTheme="minorEastAsia" w:hAnsiTheme="minorEastAsia" w:cstheme="minorEastAsia"/>
          <w:b/>
          <w:sz w:val="28"/>
          <w:lang w:val="en-US" w:eastAsia="zh-CN"/>
        </w:rPr>
      </w:pPr>
      <w:r>
        <w:rPr>
          <w:rFonts w:hint="eastAsia" w:asciiTheme="minorEastAsia" w:hAnsiTheme="minorEastAsia" w:cstheme="minorEastAsia"/>
          <w:b/>
          <w:sz w:val="28"/>
        </w:rPr>
        <w:t>投资咨询从业证书号:Z0017109</w:t>
      </w:r>
    </w:p>
    <w:p>
      <w:pPr>
        <w:spacing w:line="360" w:lineRule="auto"/>
        <w:rPr>
          <w:rFonts w:hint="eastAsia"/>
          <w:b/>
          <w:bCs/>
          <w:sz w:val="28"/>
          <w:szCs w:val="32"/>
          <w:lang w:val="en-US" w:eastAsia="zh-CN"/>
        </w:rPr>
      </w:pPr>
      <w:r>
        <w:rPr>
          <w:rFonts w:hint="eastAsia"/>
          <w:b/>
          <w:bCs/>
          <w:sz w:val="28"/>
          <w:szCs w:val="32"/>
          <w:lang w:val="en-US" w:eastAsia="zh-CN"/>
        </w:rPr>
        <w:t>PE跌势行情分析</w:t>
      </w:r>
    </w:p>
    <w:p>
      <w:pPr>
        <w:spacing w:line="360" w:lineRule="auto"/>
        <w:ind w:firstLine="480" w:firstLineChars="200"/>
        <w:rPr>
          <w:rFonts w:hint="eastAsia"/>
          <w:bCs/>
          <w:sz w:val="24"/>
          <w:szCs w:val="32"/>
          <w:lang w:val="en-US" w:eastAsia="zh-CN"/>
        </w:rPr>
      </w:pPr>
      <w:r>
        <w:rPr>
          <w:rFonts w:hint="eastAsia"/>
          <w:bCs/>
          <w:sz w:val="24"/>
          <w:szCs w:val="32"/>
          <w:lang w:val="en-US" w:eastAsia="zh-CN"/>
        </w:rPr>
        <w:t>自去年12月初短暂突破8500以来，PE主连一路下跌，最低跌破7700大关，两个月下跌超800点。究其原因有以下几点：</w:t>
      </w:r>
    </w:p>
    <w:p>
      <w:pPr>
        <w:spacing w:line="360" w:lineRule="auto"/>
        <w:ind w:firstLine="480" w:firstLineChars="200"/>
        <w:rPr>
          <w:rFonts w:hint="eastAsia"/>
          <w:bCs/>
          <w:sz w:val="24"/>
          <w:szCs w:val="32"/>
          <w:lang w:val="en-US" w:eastAsia="zh-CN"/>
        </w:rPr>
      </w:pPr>
      <w:r>
        <w:rPr>
          <w:rFonts w:hint="eastAsia"/>
          <w:bCs/>
          <w:sz w:val="24"/>
          <w:szCs w:val="32"/>
          <w:lang w:val="en-US" w:eastAsia="zh-CN"/>
        </w:rPr>
        <w:t>首先是供应压力增加。24年PE虽然有较多扩能计划但是都集中在年底，在此之前PE保持扩能真空以及低开工率状态，PE供应偏紧。但是年底PE新装置投产压力集中释放，裕龙石化、中英石化、内蒙宝丰等陆续投产，并且PE检修力度也明显减弱，开工率由前期的80%附近大幅反弹至90%附近，供应压力大增。</w:t>
      </w:r>
    </w:p>
    <w:p>
      <w:pPr>
        <w:spacing w:line="360" w:lineRule="auto"/>
        <w:ind w:firstLine="480" w:firstLineChars="200"/>
        <w:rPr>
          <w:rFonts w:hint="eastAsia"/>
          <w:bCs/>
          <w:sz w:val="24"/>
          <w:szCs w:val="32"/>
          <w:lang w:val="en-US" w:eastAsia="zh-CN"/>
        </w:rPr>
      </w:pPr>
      <w:r>
        <w:rPr>
          <w:rFonts w:hint="eastAsia"/>
          <w:bCs/>
          <w:sz w:val="24"/>
          <w:szCs w:val="32"/>
          <w:lang w:val="en-US" w:eastAsia="zh-CN"/>
        </w:rPr>
        <w:t>其次是需求端逐渐减弱。去年下半年以来，PE棚膜旺季启动，一直维持至11月份。不过12月之后棚膜旺季结束，需求明显回落，而地膜旺季尚未启动，PE农膜需求进入空档期，需求明显下降。</w:t>
      </w:r>
    </w:p>
    <w:p>
      <w:pPr>
        <w:spacing w:line="360" w:lineRule="auto"/>
        <w:rPr>
          <w:rFonts w:hint="eastAsia"/>
          <w:b/>
          <w:bCs/>
          <w:sz w:val="28"/>
          <w:szCs w:val="32"/>
          <w:lang w:val="en-US" w:eastAsia="zh-CN"/>
        </w:rPr>
      </w:pPr>
      <w:r>
        <w:rPr>
          <w:rFonts w:hint="eastAsia"/>
          <w:b/>
          <w:bCs/>
          <w:sz w:val="28"/>
          <w:szCs w:val="32"/>
          <w:lang w:val="en-US" w:eastAsia="zh-CN"/>
        </w:rPr>
        <w:t>后期利好支撑—基差依然维持高位</w:t>
      </w:r>
    </w:p>
    <w:p>
      <w:pPr>
        <w:spacing w:line="360" w:lineRule="auto"/>
        <w:ind w:firstLine="480" w:firstLineChars="200"/>
        <w:rPr>
          <w:rFonts w:hint="eastAsia"/>
          <w:bCs/>
          <w:sz w:val="24"/>
          <w:szCs w:val="32"/>
          <w:lang w:val="en-US" w:eastAsia="zh-CN"/>
        </w:rPr>
      </w:pPr>
      <w:r>
        <w:rPr>
          <w:rFonts w:hint="eastAsia"/>
          <w:bCs/>
          <w:sz w:val="24"/>
          <w:szCs w:val="32"/>
          <w:lang w:val="en-US" w:eastAsia="zh-CN"/>
        </w:rPr>
        <w:t>PE期货盘面12月份启动跌势，但是现货价格因为货源偏紧相对抗跌，基差走强一度接近1000元/吨。进入25年PE现货虽然补跌，但是基差依然高企，目前仍在500元/吨左右，为历史同期最高点。</w:t>
      </w:r>
    </w:p>
    <w:p>
      <w:pPr>
        <w:spacing w:line="360" w:lineRule="auto"/>
        <w:ind w:firstLine="480" w:firstLineChars="200"/>
        <w:rPr>
          <w:rFonts w:hint="default"/>
          <w:bCs/>
          <w:sz w:val="24"/>
          <w:szCs w:val="32"/>
          <w:lang w:val="en-US" w:eastAsia="zh-CN"/>
        </w:rPr>
      </w:pPr>
      <w:r>
        <w:rPr>
          <w:rFonts w:hint="eastAsia"/>
          <w:bCs/>
          <w:sz w:val="24"/>
          <w:szCs w:val="32"/>
          <w:lang w:val="en-US" w:eastAsia="zh-CN"/>
        </w:rPr>
        <w:t>此次PE基差走高反映出PE期现背离。PE期货大跌主要是透支未来扩能预期，但是新装置从试车到投产再到量产，需要一定时间周期，并且新装置投产存在较大不确定性，一旦新装置投产后供应压力不及预期，PE高基差现状有望修复。</w:t>
      </w:r>
    </w:p>
    <w:p>
      <w:pPr>
        <w:spacing w:line="360" w:lineRule="auto"/>
        <w:rPr>
          <w:rFonts w:hint="eastAsia"/>
          <w:b/>
          <w:bCs/>
          <w:sz w:val="28"/>
          <w:szCs w:val="32"/>
          <w:lang w:val="en-US" w:eastAsia="zh-CN"/>
        </w:rPr>
      </w:pPr>
      <w:r>
        <w:rPr>
          <w:rFonts w:hint="eastAsia"/>
          <w:b/>
          <w:bCs/>
          <w:sz w:val="28"/>
          <w:szCs w:val="32"/>
          <w:lang w:val="en-US" w:eastAsia="zh-CN"/>
        </w:rPr>
        <w:t>后期利好支撑—PE盘面亏损加剧</w:t>
      </w:r>
    </w:p>
    <w:p>
      <w:pPr>
        <w:spacing w:line="360" w:lineRule="auto"/>
        <w:ind w:firstLine="480" w:firstLineChars="200"/>
        <w:rPr>
          <w:rFonts w:hint="default"/>
          <w:bCs/>
          <w:sz w:val="24"/>
          <w:szCs w:val="32"/>
          <w:lang w:val="en-US" w:eastAsia="zh-CN"/>
        </w:rPr>
      </w:pPr>
      <w:r>
        <w:rPr>
          <w:rFonts w:hint="eastAsia"/>
          <w:bCs/>
          <w:sz w:val="24"/>
          <w:szCs w:val="32"/>
          <w:lang w:val="en-US" w:eastAsia="zh-CN"/>
        </w:rPr>
        <w:t>虽然近期油价整体回落，其中布伦特已经跌至75美元/桶附近，但是相比之下PE跌幅更大，油制PE亏损加剧，目前已经再次出现亏损情况，并且考虑PE盘面贴水500元/吨左右，盘面亏损更大，已经接近1000元/吨，成本端支撑作用有望体现。</w:t>
      </w:r>
    </w:p>
    <w:p>
      <w:pPr>
        <w:spacing w:line="360" w:lineRule="auto"/>
        <w:ind w:firstLine="480" w:firstLineChars="200"/>
        <w:rPr>
          <w:rFonts w:hint="default"/>
          <w:bCs/>
          <w:sz w:val="24"/>
          <w:szCs w:val="32"/>
          <w:lang w:val="en-US" w:eastAsia="zh-CN"/>
        </w:rPr>
      </w:pPr>
      <w:r>
        <w:rPr>
          <w:rFonts w:hint="eastAsia"/>
          <w:bCs/>
          <w:sz w:val="24"/>
          <w:szCs w:val="32"/>
          <w:lang w:val="en-US" w:eastAsia="zh-CN"/>
        </w:rPr>
        <w:t>疫情以来PE亏损成为常态化，但是常年亏损背景下PE在24年降低开工负荷，缓解供需矛盾以及经营压力，终于在24年下半年扭亏为盈。不过随着此次PE出现亏损，不排除生产企业再次主动降低负荷缓解生产经营压力的可能，届时供需矛盾有望得到一定缓解。</w:t>
      </w:r>
    </w:p>
    <w:p>
      <w:pPr>
        <w:spacing w:line="360" w:lineRule="auto"/>
        <w:rPr>
          <w:rFonts w:hint="eastAsia"/>
          <w:b/>
          <w:bCs/>
          <w:sz w:val="28"/>
          <w:szCs w:val="32"/>
          <w:lang w:val="en-US" w:eastAsia="zh-CN"/>
        </w:rPr>
      </w:pPr>
      <w:r>
        <w:rPr>
          <w:rFonts w:hint="eastAsia"/>
          <w:b/>
          <w:bCs/>
          <w:sz w:val="28"/>
          <w:szCs w:val="32"/>
          <w:lang w:val="en-US" w:eastAsia="zh-CN"/>
        </w:rPr>
        <w:t>后期利好支撑—地膜旺季有望启动</w:t>
      </w:r>
    </w:p>
    <w:p>
      <w:pPr>
        <w:spacing w:line="360" w:lineRule="auto"/>
        <w:ind w:firstLine="480" w:firstLineChars="200"/>
        <w:rPr>
          <w:rFonts w:hint="default"/>
          <w:bCs/>
          <w:sz w:val="24"/>
          <w:szCs w:val="32"/>
          <w:lang w:val="en-US" w:eastAsia="zh-CN"/>
        </w:rPr>
      </w:pPr>
      <w:r>
        <w:rPr>
          <w:rFonts w:hint="eastAsia"/>
          <w:bCs/>
          <w:sz w:val="24"/>
          <w:szCs w:val="32"/>
          <w:lang w:val="en-US" w:eastAsia="zh-CN"/>
        </w:rPr>
        <w:t>PE下游需求广泛，但是农膜最具代表性，淡旺季特征也最为明显。一般5-9月份是PE地膜需求淡季，此时由于气温升高，农田作业减少，地膜需求量下降。而3-4月份是地膜旺季，此时春季播种季节到来，地膜需求量增加，企业迅速恢复产能以满足市场需求，下游企业一般会提前备货，所以节后2月份开始，地膜需求旺季将逐渐启动，PE需求有望明显改善。‌‌</w:t>
      </w:r>
    </w:p>
    <w:p>
      <w:pPr>
        <w:spacing w:line="360" w:lineRule="auto"/>
        <w:rPr>
          <w:rFonts w:hint="eastAsia"/>
          <w:b/>
          <w:bCs/>
          <w:sz w:val="28"/>
          <w:szCs w:val="32"/>
          <w:lang w:val="en-US" w:eastAsia="zh-CN"/>
        </w:rPr>
      </w:pPr>
      <w:r>
        <w:rPr>
          <w:rFonts w:hint="eastAsia"/>
          <w:b/>
          <w:bCs/>
          <w:sz w:val="28"/>
          <w:szCs w:val="32"/>
          <w:lang w:val="en-US" w:eastAsia="zh-CN"/>
        </w:rPr>
        <w:t>关注PE-PP套利机会</w:t>
      </w:r>
    </w:p>
    <w:p>
      <w:pPr>
        <w:spacing w:line="360" w:lineRule="auto"/>
        <w:rPr>
          <w:rFonts w:hint="eastAsia"/>
          <w:b/>
          <w:bCs/>
          <w:sz w:val="28"/>
          <w:szCs w:val="32"/>
          <w:lang w:val="en-US" w:eastAsia="zh-CN"/>
        </w:rPr>
      </w:pPr>
      <w:r>
        <w:drawing>
          <wp:inline distT="0" distB="0" distL="114300" distR="114300">
            <wp:extent cx="5137150" cy="3031490"/>
            <wp:effectExtent l="12700" t="12700" r="12700" b="228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137150" cy="3031490"/>
                    </a:xfrm>
                    <a:prstGeom prst="rect">
                      <a:avLst/>
                    </a:prstGeom>
                    <a:noFill/>
                    <a:ln w="12700" cmpd="sng">
                      <a:solidFill>
                        <a:schemeClr val="bg1">
                          <a:lumMod val="65000"/>
                        </a:schemeClr>
                      </a:solidFill>
                      <a:prstDash val="solid"/>
                    </a:ln>
                  </pic:spPr>
                </pic:pic>
              </a:graphicData>
            </a:graphic>
          </wp:inline>
        </w:drawing>
      </w:r>
    </w:p>
    <w:p>
      <w:pPr>
        <w:rPr>
          <w:rFonts w:hint="eastAsia"/>
          <w:bCs/>
          <w:sz w:val="24"/>
          <w:szCs w:val="32"/>
          <w:lang w:val="en-US" w:eastAsia="zh-CN"/>
        </w:rPr>
      </w:pPr>
      <w:r>
        <w:rPr>
          <w:rFonts w:hint="eastAsia"/>
          <w:b/>
          <w:i/>
          <w:sz w:val="22"/>
        </w:rPr>
        <w:t>数据来源：</w:t>
      </w:r>
      <w:r>
        <w:rPr>
          <w:rFonts w:hint="eastAsia"/>
          <w:b/>
          <w:i/>
          <w:sz w:val="22"/>
          <w:lang w:val="en-US" w:eastAsia="zh-CN"/>
        </w:rPr>
        <w:t>齐盛期货</w:t>
      </w:r>
    </w:p>
    <w:p>
      <w:pPr>
        <w:spacing w:line="360" w:lineRule="auto"/>
        <w:ind w:firstLine="480" w:firstLineChars="200"/>
        <w:rPr>
          <w:rFonts w:hint="eastAsia"/>
          <w:bCs/>
          <w:sz w:val="24"/>
          <w:szCs w:val="32"/>
          <w:lang w:val="en-US" w:eastAsia="zh-CN"/>
        </w:rPr>
      </w:pPr>
      <w:r>
        <w:rPr>
          <w:rFonts w:hint="eastAsia"/>
          <w:bCs/>
          <w:sz w:val="24"/>
          <w:szCs w:val="32"/>
          <w:lang w:val="en-US" w:eastAsia="zh-CN"/>
        </w:rPr>
        <w:t>PE与PP同属于烯烃产业链，从生产到流通，再到下游具有极强的相关性，二者的价差也是投资者重点关注的套利机会。从历史周期来看，二者的价差走出千元级别的大周期行情，往往伴随着供应端的变化，而目前PP与PE也正处于扩能周期的尾声，相比之下近几年除了共同上马的项目，PP工艺中PDH制PP占比也较大，导致PP整体扩能压力大于PE，PE-PP价差整体处于扩张周期。</w:t>
      </w:r>
    </w:p>
    <w:p>
      <w:pPr>
        <w:spacing w:line="360" w:lineRule="auto"/>
        <w:ind w:firstLine="480" w:firstLineChars="200"/>
        <w:rPr>
          <w:rFonts w:hint="eastAsia"/>
          <w:bCs/>
          <w:sz w:val="24"/>
          <w:szCs w:val="32"/>
          <w:lang w:val="en-US" w:eastAsia="zh-CN"/>
        </w:rPr>
      </w:pPr>
      <w:r>
        <w:rPr>
          <w:rFonts w:hint="eastAsia"/>
          <w:bCs/>
          <w:sz w:val="24"/>
          <w:szCs w:val="32"/>
          <w:lang w:val="en-US" w:eastAsia="zh-CN"/>
        </w:rPr>
        <w:t>自去年12月以来，PE-PP价差持续收窄，主要因为PE扩能利空提前透支，但是PP扩能压力并未体现，目前基差保持在50元/吨附近，存在补跌空间。此外节后PE与PP需求也将出现一定分化，PP上半年需求端整体处于淡季缺乏亮点，但是PE地膜旺季值得期待。</w:t>
      </w:r>
    </w:p>
    <w:p>
      <w:pPr>
        <w:spacing w:line="360" w:lineRule="auto"/>
        <w:ind w:firstLine="480" w:firstLineChars="200"/>
        <w:rPr>
          <w:rFonts w:hint="eastAsia"/>
          <w:bCs/>
          <w:sz w:val="24"/>
          <w:szCs w:val="32"/>
          <w:lang w:val="en-US" w:eastAsia="zh-CN"/>
        </w:rPr>
      </w:pPr>
      <w:r>
        <w:rPr>
          <w:rFonts w:hint="eastAsia"/>
          <w:bCs/>
          <w:sz w:val="24"/>
          <w:szCs w:val="32"/>
          <w:lang w:val="en-US" w:eastAsia="zh-CN"/>
        </w:rPr>
        <w:t>目前PE-PP价差已经由780元/吨收窄至目前380元/吨，跌幅超过50%，跌至2年以来最低点，存在一定安全边际，并且二者在需求及基差方面也存在一定分化，PE-PP价差存在一定修复</w:t>
      </w:r>
      <w:bookmarkStart w:id="0" w:name="_GoBack"/>
      <w:r>
        <w:rPr>
          <w:rFonts w:hint="eastAsia"/>
          <w:bCs/>
          <w:sz w:val="24"/>
          <w:szCs w:val="32"/>
          <w:lang w:val="en-US" w:eastAsia="zh-CN"/>
        </w:rPr>
        <w:t>空间</w:t>
      </w:r>
      <w:bookmarkEnd w:id="0"/>
      <w:r>
        <w:rPr>
          <w:rFonts w:hint="eastAsia"/>
          <w:bCs/>
          <w:sz w:val="24"/>
          <w:szCs w:val="32"/>
          <w:lang w:val="en-US" w:eastAsia="zh-CN"/>
        </w:rPr>
        <w:t>。</w:t>
      </w:r>
    </w:p>
    <w:p>
      <w:pPr>
        <w:spacing w:line="360" w:lineRule="auto"/>
        <w:ind w:firstLine="480" w:firstLineChars="200"/>
        <w:rPr>
          <w:rFonts w:hint="eastAsia"/>
          <w:bCs/>
          <w:sz w:val="24"/>
          <w:szCs w:val="32"/>
          <w:lang w:val="en-US" w:eastAsia="zh-CN"/>
        </w:rPr>
      </w:pPr>
    </w:p>
    <w:p>
      <w:pPr>
        <w:spacing w:line="360" w:lineRule="auto"/>
        <w:ind w:firstLine="480" w:firstLineChars="200"/>
        <w:rPr>
          <w:rFonts w:hint="eastAsia"/>
          <w:bCs/>
          <w:sz w:val="24"/>
          <w:szCs w:val="32"/>
          <w:lang w:val="en-US" w:eastAsia="zh-CN"/>
        </w:rPr>
      </w:pPr>
    </w:p>
    <w:p>
      <w:pPr>
        <w:spacing w:line="360" w:lineRule="auto"/>
        <w:ind w:firstLine="482" w:firstLineChars="200"/>
        <w:jc w:val="right"/>
        <w:rPr>
          <w:sz w:val="24"/>
        </w:rPr>
      </w:pPr>
      <w:r>
        <w:rPr>
          <w:rFonts w:hint="eastAsia"/>
          <w:b/>
          <w:bCs/>
          <w:sz w:val="24"/>
        </w:rPr>
        <w:t>作者单位：山东齐盛期货有限公司</w:t>
      </w:r>
    </w:p>
    <w:p>
      <w:pPr>
        <w:spacing w:line="360" w:lineRule="auto"/>
        <w:jc w:val="right"/>
        <w:rPr>
          <w:rFonts w:asciiTheme="minorEastAsia" w:hAnsiTheme="minorEastAsia" w:cstheme="minorEastAsia"/>
          <w:b/>
          <w:sz w:val="24"/>
        </w:rPr>
      </w:pPr>
      <w:r>
        <w:rPr>
          <w:rFonts w:hint="eastAsia" w:asciiTheme="minorEastAsia" w:hAnsiTheme="minorEastAsia" w:cstheme="minorEastAsia"/>
          <w:b/>
          <w:sz w:val="24"/>
        </w:rPr>
        <w:t>期货交易咨询业务资格</w:t>
      </w:r>
    </w:p>
    <w:p>
      <w:pPr>
        <w:spacing w:line="360" w:lineRule="auto"/>
        <w:jc w:val="right"/>
      </w:pPr>
      <w:r>
        <w:rPr>
          <w:rFonts w:hint="eastAsia" w:asciiTheme="minorEastAsia" w:hAnsiTheme="minorEastAsia" w:cstheme="minorEastAsia"/>
          <w:b/>
          <w:sz w:val="24"/>
        </w:rPr>
        <w:t>证监许可[2011]1777号</w:t>
      </w:r>
    </w:p>
    <w:p>
      <w:pPr>
        <w:spacing w:line="360" w:lineRule="auto"/>
        <w:ind w:firstLine="723" w:firstLineChars="200"/>
        <w:jc w:val="center"/>
        <w:rPr>
          <w:rFonts w:hint="eastAsia"/>
          <w:b/>
          <w:sz w:val="36"/>
        </w:rPr>
      </w:pPr>
    </w:p>
    <w:p>
      <w:pPr>
        <w:spacing w:line="360" w:lineRule="auto"/>
        <w:ind w:firstLine="723" w:firstLineChars="200"/>
        <w:jc w:val="center"/>
        <w:rPr>
          <w:b/>
        </w:rPr>
      </w:pPr>
      <w:r>
        <w:rPr>
          <w:rFonts w:hint="eastAsia"/>
          <w:b/>
          <w:sz w:val="36"/>
        </w:rPr>
        <w:t>免责声明</w:t>
      </w:r>
    </w:p>
    <w:p>
      <w:pPr>
        <w:spacing w:line="360" w:lineRule="auto"/>
        <w:ind w:firstLine="420" w:firstLineChars="200"/>
      </w:pPr>
      <w:r>
        <w:rPr>
          <w:rFonts w:hint="eastAsia"/>
        </w:rPr>
        <w:t xml:space="preserve">    </w:t>
      </w:r>
      <w:r>
        <w:rPr>
          <w:rFonts w:hint="eastAsia"/>
          <w:b/>
          <w:bCs/>
        </w:rPr>
        <w:t>本报告内容形成采用的基础数据信息均来源于公开资料，我公司对这类信息的准确性和完整性不做任何保证，也不保证所包含的信息和报告中得出的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p>
    <w:p>
      <w:pPr>
        <w:spacing w:line="360" w:lineRule="auto"/>
        <w:rPr>
          <w:rFonts w:hint="default"/>
          <w:bCs/>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41FE6"/>
    <w:rsid w:val="14553D66"/>
    <w:rsid w:val="4DB20386"/>
    <w:rsid w:val="6A850317"/>
    <w:rsid w:val="72624B97"/>
    <w:rsid w:val="76C10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2025-02-06T01:53:16Z</dcterms:created>
  <dc:creator>Lenovo</dc:creator>
  <cp:lastModifiedBy>王保营</cp:lastModifiedBy>
  <dcterms:modified xsi:type="dcterms:W3CDTF">2025-02-06T05:22:36Z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ECC66E44018C4847894993DAF1E5455D</vt:lpwstr>
  </property>
</Properties>
</file>