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C17795">
        <w:rPr>
          <w:rFonts w:hint="eastAsia"/>
          <w:b/>
          <w:sz w:val="28"/>
        </w:rPr>
        <w:t>多空逻辑交织，黄金欲突破区间需等待新驱动</w:t>
      </w:r>
    </w:p>
    <w:p w:rsidR="00C357E3" w:rsidRDefault="00C17795">
      <w:r>
        <w:rPr>
          <w:noProof/>
        </w:rPr>
        <w:drawing>
          <wp:inline distT="0" distB="0" distL="0" distR="0" wp14:anchorId="51C40716" wp14:editId="78B55D79">
            <wp:extent cx="5274310" cy="20046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004695"/>
                    </a:xfrm>
                    <a:prstGeom prst="rect">
                      <a:avLst/>
                    </a:prstGeom>
                  </pic:spPr>
                </pic:pic>
              </a:graphicData>
            </a:graphic>
          </wp:inline>
        </w:drawing>
      </w:r>
    </w:p>
    <w:p w:rsidR="00C17795" w:rsidRDefault="00C17795" w:rsidP="00486990">
      <w:pPr>
        <w:ind w:right="280" w:firstLineChars="200" w:firstLine="560"/>
        <w:jc w:val="left"/>
        <w:rPr>
          <w:sz w:val="28"/>
        </w:rPr>
      </w:pPr>
      <w:bookmarkStart w:id="0" w:name="OLE_LINK1"/>
      <w:bookmarkStart w:id="1" w:name="OLE_LINK2"/>
      <w:bookmarkStart w:id="2" w:name="OLE_LINK3"/>
      <w:r>
        <w:rPr>
          <w:rFonts w:hint="eastAsia"/>
          <w:sz w:val="28"/>
        </w:rPr>
        <w:t>隔夜美国公布的</w:t>
      </w:r>
      <w:r>
        <w:rPr>
          <w:rFonts w:hint="eastAsia"/>
          <w:sz w:val="28"/>
        </w:rPr>
        <w:t>5</w:t>
      </w:r>
      <w:r>
        <w:rPr>
          <w:rFonts w:hint="eastAsia"/>
          <w:sz w:val="28"/>
        </w:rPr>
        <w:t>月</w:t>
      </w:r>
      <w:r>
        <w:rPr>
          <w:rFonts w:hint="eastAsia"/>
          <w:sz w:val="28"/>
        </w:rPr>
        <w:t>C</w:t>
      </w:r>
      <w:r>
        <w:rPr>
          <w:sz w:val="28"/>
        </w:rPr>
        <w:t>PI</w:t>
      </w:r>
      <w:r>
        <w:rPr>
          <w:rFonts w:hint="eastAsia"/>
          <w:sz w:val="28"/>
        </w:rPr>
        <w:t>数据全面低于预期，但同比增长</w:t>
      </w:r>
      <w:r>
        <w:rPr>
          <w:rFonts w:hint="eastAsia"/>
          <w:sz w:val="28"/>
        </w:rPr>
        <w:t>2</w:t>
      </w:r>
      <w:r>
        <w:rPr>
          <w:sz w:val="28"/>
        </w:rPr>
        <w:t>.4%</w:t>
      </w:r>
      <w:r>
        <w:rPr>
          <w:rFonts w:hint="eastAsia"/>
          <w:sz w:val="28"/>
        </w:rPr>
        <w:t>较前值上涨</w:t>
      </w:r>
      <w:r>
        <w:rPr>
          <w:rFonts w:hint="eastAsia"/>
          <w:sz w:val="28"/>
        </w:rPr>
        <w:t>0</w:t>
      </w:r>
      <w:r>
        <w:rPr>
          <w:sz w:val="28"/>
        </w:rPr>
        <w:t>.1%</w:t>
      </w:r>
      <w:r>
        <w:rPr>
          <w:rFonts w:hint="eastAsia"/>
          <w:sz w:val="28"/>
        </w:rPr>
        <w:t>，主要因素在食品价格涨幅明显，本次数据虽然短线对金银带来利多刺激，但是并未能驱动美联储加快降息节奏。考虑到美国对所有国家仍保留了</w:t>
      </w:r>
      <w:r>
        <w:rPr>
          <w:rFonts w:hint="eastAsia"/>
          <w:sz w:val="28"/>
        </w:rPr>
        <w:t>1</w:t>
      </w:r>
      <w:r>
        <w:rPr>
          <w:sz w:val="28"/>
        </w:rPr>
        <w:t>0%</w:t>
      </w:r>
      <w:r>
        <w:rPr>
          <w:rFonts w:hint="eastAsia"/>
          <w:sz w:val="28"/>
        </w:rPr>
        <w:t>的基础关税，未来物价仍有反弹风险。</w:t>
      </w:r>
    </w:p>
    <w:p w:rsidR="00486990" w:rsidRDefault="00D852DC" w:rsidP="00486990">
      <w:pPr>
        <w:ind w:right="280" w:firstLineChars="200" w:firstLine="560"/>
        <w:jc w:val="left"/>
        <w:rPr>
          <w:sz w:val="28"/>
        </w:rPr>
      </w:pPr>
      <w:r>
        <w:rPr>
          <w:rFonts w:hint="eastAsia"/>
          <w:sz w:val="28"/>
        </w:rPr>
        <w:t>今天凌晨美伊谈判再次陷入僵局，</w:t>
      </w:r>
      <w:r w:rsidRPr="00D852DC">
        <w:rPr>
          <w:rFonts w:hint="eastAsia"/>
          <w:sz w:val="28"/>
        </w:rPr>
        <w:t>特朗普</w:t>
      </w:r>
      <w:r>
        <w:rPr>
          <w:rFonts w:hint="eastAsia"/>
          <w:sz w:val="28"/>
        </w:rPr>
        <w:t>表示</w:t>
      </w:r>
      <w:r w:rsidRPr="00D852DC">
        <w:rPr>
          <w:rFonts w:hint="eastAsia"/>
          <w:sz w:val="28"/>
        </w:rPr>
        <w:t>对达成伊核协议信心减弱</w:t>
      </w:r>
      <w:r>
        <w:rPr>
          <w:rFonts w:hint="eastAsia"/>
          <w:sz w:val="28"/>
        </w:rPr>
        <w:t>。</w:t>
      </w:r>
      <w:r w:rsidRPr="00D852DC">
        <w:rPr>
          <w:rFonts w:hint="eastAsia"/>
          <w:sz w:val="28"/>
        </w:rPr>
        <w:t>伊朗防长</w:t>
      </w:r>
      <w:r>
        <w:rPr>
          <w:rFonts w:hint="eastAsia"/>
          <w:sz w:val="28"/>
        </w:rPr>
        <w:t>随后发表讲话</w:t>
      </w:r>
      <w:r w:rsidRPr="00D852DC">
        <w:rPr>
          <w:rFonts w:hint="eastAsia"/>
          <w:sz w:val="28"/>
        </w:rPr>
        <w:t>：如果核谈判失败并与美国发生冲突，伊朗将打击该地区的美军基地。</w:t>
      </w:r>
      <w:r>
        <w:rPr>
          <w:rFonts w:hint="eastAsia"/>
          <w:sz w:val="28"/>
        </w:rPr>
        <w:t>据此推断</w:t>
      </w:r>
      <w:r w:rsidRPr="00D852DC">
        <w:rPr>
          <w:rFonts w:hint="eastAsia"/>
          <w:sz w:val="28"/>
        </w:rPr>
        <w:t>伊美周末举行第六轮核谈判举行的可能性越来越小。</w:t>
      </w:r>
      <w:r>
        <w:rPr>
          <w:rFonts w:hint="eastAsia"/>
          <w:sz w:val="28"/>
        </w:rPr>
        <w:t>中东局势不确定性推动早盘黄金、原油上涨。</w:t>
      </w:r>
    </w:p>
    <w:p w:rsidR="00D852DC" w:rsidRDefault="00D852DC" w:rsidP="00486990">
      <w:pPr>
        <w:ind w:right="280" w:firstLineChars="200" w:firstLine="560"/>
        <w:jc w:val="left"/>
        <w:rPr>
          <w:sz w:val="28"/>
        </w:rPr>
      </w:pPr>
      <w:r>
        <w:rPr>
          <w:rFonts w:hint="eastAsia"/>
          <w:sz w:val="28"/>
        </w:rPr>
        <w:t>利空因素来自中美贸易谈判，第二轮谈判结束</w:t>
      </w:r>
      <w:r w:rsidRPr="00D852DC">
        <w:rPr>
          <w:rFonts w:hint="eastAsia"/>
          <w:sz w:val="28"/>
        </w:rPr>
        <w:t>，双方原则上就落实两国元首</w:t>
      </w:r>
      <w:r w:rsidRPr="00D852DC">
        <w:rPr>
          <w:rFonts w:hint="eastAsia"/>
          <w:sz w:val="28"/>
        </w:rPr>
        <w:t>6</w:t>
      </w:r>
      <w:r w:rsidRPr="00D852DC">
        <w:rPr>
          <w:rFonts w:hint="eastAsia"/>
          <w:sz w:val="28"/>
        </w:rPr>
        <w:t>月</w:t>
      </w:r>
      <w:r w:rsidRPr="00D852DC">
        <w:rPr>
          <w:rFonts w:hint="eastAsia"/>
          <w:sz w:val="28"/>
        </w:rPr>
        <w:t>5</w:t>
      </w:r>
      <w:r w:rsidRPr="00D852DC">
        <w:rPr>
          <w:rFonts w:hint="eastAsia"/>
          <w:sz w:val="28"/>
        </w:rPr>
        <w:t>日通话共识和日内瓦经贸会谈共识达成了框架。</w:t>
      </w:r>
      <w:r>
        <w:rPr>
          <w:rFonts w:hint="eastAsia"/>
          <w:sz w:val="28"/>
        </w:rPr>
        <w:t>虽然本次谈判仍有一定分歧、没有产生更实质性进展，但也没有超预期分歧发生，短线弱化了贸易不确定性</w:t>
      </w:r>
      <w:r w:rsidR="000D09DC">
        <w:rPr>
          <w:rFonts w:hint="eastAsia"/>
          <w:sz w:val="28"/>
        </w:rPr>
        <w:t>，打压金价</w:t>
      </w:r>
      <w:r>
        <w:rPr>
          <w:rFonts w:hint="eastAsia"/>
          <w:sz w:val="28"/>
        </w:rPr>
        <w:t>。</w:t>
      </w:r>
      <w:r w:rsidR="000D09DC">
        <w:rPr>
          <w:rFonts w:hint="eastAsia"/>
          <w:sz w:val="28"/>
        </w:rPr>
        <w:t>但是</w:t>
      </w:r>
      <w:r>
        <w:rPr>
          <w:rFonts w:hint="eastAsia"/>
          <w:sz w:val="28"/>
        </w:rPr>
        <w:t>中美贸易摩擦难以快速平息，下一步大概率会以一个边打边谈方式进行，不确定性仍然为黄金带来托底支撑。</w:t>
      </w:r>
    </w:p>
    <w:p w:rsidR="009A3FA1" w:rsidRDefault="009A3FA1" w:rsidP="00486990">
      <w:pPr>
        <w:ind w:right="280" w:firstLineChars="200" w:firstLine="560"/>
        <w:jc w:val="left"/>
        <w:rPr>
          <w:rFonts w:hint="eastAsia"/>
          <w:sz w:val="28"/>
        </w:rPr>
      </w:pPr>
      <w:r>
        <w:rPr>
          <w:rFonts w:hint="eastAsia"/>
          <w:sz w:val="28"/>
        </w:rPr>
        <w:lastRenderedPageBreak/>
        <w:t>未来利多驱动关注</w:t>
      </w:r>
      <w:r w:rsidR="008C1085">
        <w:rPr>
          <w:rFonts w:hint="eastAsia"/>
          <w:sz w:val="28"/>
        </w:rPr>
        <w:t>：</w:t>
      </w:r>
      <w:r w:rsidR="008C1085">
        <w:rPr>
          <w:rFonts w:hint="eastAsia"/>
          <w:sz w:val="28"/>
        </w:rPr>
        <w:t>1</w:t>
      </w:r>
      <w:r w:rsidR="008C1085">
        <w:rPr>
          <w:sz w:val="28"/>
        </w:rPr>
        <w:t>.</w:t>
      </w:r>
      <w:r w:rsidR="008C1085">
        <w:rPr>
          <w:rFonts w:hint="eastAsia"/>
          <w:sz w:val="28"/>
        </w:rPr>
        <w:t>中美贸易不确定性；</w:t>
      </w:r>
      <w:r w:rsidR="008C1085">
        <w:rPr>
          <w:rFonts w:hint="eastAsia"/>
          <w:sz w:val="28"/>
        </w:rPr>
        <w:t>2</w:t>
      </w:r>
      <w:r w:rsidR="008C1085">
        <w:rPr>
          <w:sz w:val="28"/>
        </w:rPr>
        <w:t>.</w:t>
      </w:r>
      <w:r w:rsidR="008C1085">
        <w:rPr>
          <w:rFonts w:hint="eastAsia"/>
          <w:sz w:val="28"/>
        </w:rPr>
        <w:t>海外宏观走弱；</w:t>
      </w:r>
      <w:r w:rsidR="008C1085">
        <w:rPr>
          <w:rFonts w:hint="eastAsia"/>
          <w:sz w:val="28"/>
        </w:rPr>
        <w:t>3</w:t>
      </w:r>
      <w:r w:rsidR="008C1085">
        <w:rPr>
          <w:sz w:val="28"/>
        </w:rPr>
        <w:t>.</w:t>
      </w:r>
      <w:r w:rsidR="008C1085">
        <w:rPr>
          <w:rFonts w:hint="eastAsia"/>
          <w:sz w:val="28"/>
        </w:rPr>
        <w:t>中东局势升级。</w:t>
      </w:r>
    </w:p>
    <w:p w:rsidR="00D852DC" w:rsidRDefault="00D852DC" w:rsidP="00486990">
      <w:pPr>
        <w:ind w:right="280" w:firstLineChars="200" w:firstLine="560"/>
        <w:jc w:val="left"/>
        <w:rPr>
          <w:rFonts w:hint="eastAsia"/>
          <w:sz w:val="28"/>
        </w:rPr>
      </w:pPr>
      <w:r>
        <w:rPr>
          <w:rFonts w:hint="eastAsia"/>
          <w:sz w:val="28"/>
        </w:rPr>
        <w:t>技术面，伦敦金仍处于支撑位上方，国内黄金期货形成上升三角形收敛；白银价格冲高后，短线有所乏力，但多头趋势未没有改变。</w:t>
      </w:r>
    </w:p>
    <w:p w:rsidR="005A7EFF" w:rsidRDefault="003A6D1A" w:rsidP="00543A70">
      <w:pPr>
        <w:ind w:right="280" w:firstLineChars="200" w:firstLine="560"/>
        <w:jc w:val="left"/>
        <w:rPr>
          <w:sz w:val="28"/>
        </w:rPr>
      </w:pPr>
      <w:r w:rsidRPr="003A6D1A">
        <w:rPr>
          <w:rFonts w:hint="eastAsia"/>
          <w:sz w:val="28"/>
        </w:rPr>
        <w:t>观点：</w:t>
      </w:r>
      <w:r w:rsidR="00D852DC">
        <w:rPr>
          <w:rFonts w:hint="eastAsia"/>
          <w:sz w:val="28"/>
        </w:rPr>
        <w:t>继续关注向上机会</w:t>
      </w:r>
      <w:r w:rsidR="00490F26">
        <w:rPr>
          <w:rFonts w:hint="eastAsia"/>
          <w:sz w:val="28"/>
        </w:rPr>
        <w:t>。</w:t>
      </w:r>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3" w:name="OLE_LINK4"/>
      <w:bookmarkStart w:id="4" w:name="OLE_LINK5"/>
      <w:bookmarkStart w:id="5" w:name="OLE_LINK8"/>
      <w:bookmarkStart w:id="6" w:name="OLE_LINK9"/>
      <w:bookmarkStart w:id="7" w:name="OLE_LINK10"/>
      <w:bookmarkStart w:id="8" w:name="OLE_LINK11"/>
      <w:bookmarkStart w:id="9" w:name="OLE_LINK14"/>
      <w:bookmarkStart w:id="10" w:name="OLE_LINK6"/>
      <w:bookmarkStart w:id="11" w:name="OLE_LINK7"/>
      <w:bookmarkStart w:id="12" w:name="OLE_LINK12"/>
      <w:bookmarkStart w:id="13" w:name="OLE_LINK13"/>
      <w:bookmarkStart w:id="14" w:name="_GoBack"/>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86F" w:rsidRDefault="0035086F" w:rsidP="00C357E3">
      <w:r>
        <w:separator/>
      </w:r>
    </w:p>
  </w:endnote>
  <w:endnote w:type="continuationSeparator" w:id="0">
    <w:p w:rsidR="0035086F" w:rsidRDefault="0035086F"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86F" w:rsidRDefault="0035086F" w:rsidP="00C357E3">
      <w:r>
        <w:separator/>
      </w:r>
    </w:p>
  </w:footnote>
  <w:footnote w:type="continuationSeparator" w:id="0">
    <w:p w:rsidR="0035086F" w:rsidRDefault="0035086F"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14959"/>
    <w:rsid w:val="0002500B"/>
    <w:rsid w:val="00035B79"/>
    <w:rsid w:val="00067B31"/>
    <w:rsid w:val="000728A9"/>
    <w:rsid w:val="00085814"/>
    <w:rsid w:val="000D09DC"/>
    <w:rsid w:val="001C632F"/>
    <w:rsid w:val="001D6BA1"/>
    <w:rsid w:val="00206377"/>
    <w:rsid w:val="00274A02"/>
    <w:rsid w:val="002843FE"/>
    <w:rsid w:val="002C566F"/>
    <w:rsid w:val="002D723D"/>
    <w:rsid w:val="002F49AD"/>
    <w:rsid w:val="0030732B"/>
    <w:rsid w:val="0035086F"/>
    <w:rsid w:val="003578CE"/>
    <w:rsid w:val="00377BE3"/>
    <w:rsid w:val="003939C1"/>
    <w:rsid w:val="003A0FA5"/>
    <w:rsid w:val="003A6D1A"/>
    <w:rsid w:val="00410B67"/>
    <w:rsid w:val="00424776"/>
    <w:rsid w:val="00433F3B"/>
    <w:rsid w:val="00455B3C"/>
    <w:rsid w:val="00471551"/>
    <w:rsid w:val="00486990"/>
    <w:rsid w:val="00490F26"/>
    <w:rsid w:val="004B5C9A"/>
    <w:rsid w:val="005129B5"/>
    <w:rsid w:val="00543A70"/>
    <w:rsid w:val="00564D8E"/>
    <w:rsid w:val="0056635F"/>
    <w:rsid w:val="005848D7"/>
    <w:rsid w:val="005A1FB5"/>
    <w:rsid w:val="005A7EFF"/>
    <w:rsid w:val="005F48A3"/>
    <w:rsid w:val="0062598F"/>
    <w:rsid w:val="00642B6D"/>
    <w:rsid w:val="00667AED"/>
    <w:rsid w:val="00691F65"/>
    <w:rsid w:val="00694DF9"/>
    <w:rsid w:val="00720E3E"/>
    <w:rsid w:val="00750F24"/>
    <w:rsid w:val="00794B17"/>
    <w:rsid w:val="007A7709"/>
    <w:rsid w:val="007A7D01"/>
    <w:rsid w:val="007C4FD8"/>
    <w:rsid w:val="007D34C1"/>
    <w:rsid w:val="008974EB"/>
    <w:rsid w:val="008B3304"/>
    <w:rsid w:val="008C1085"/>
    <w:rsid w:val="008F28C4"/>
    <w:rsid w:val="008F40AC"/>
    <w:rsid w:val="00945664"/>
    <w:rsid w:val="00966CD4"/>
    <w:rsid w:val="0097215C"/>
    <w:rsid w:val="0098622C"/>
    <w:rsid w:val="009A3FA1"/>
    <w:rsid w:val="009B238F"/>
    <w:rsid w:val="009E1A0C"/>
    <w:rsid w:val="009F1E53"/>
    <w:rsid w:val="00A03A60"/>
    <w:rsid w:val="00A712C0"/>
    <w:rsid w:val="00A91F3A"/>
    <w:rsid w:val="00AB1A44"/>
    <w:rsid w:val="00AB2A73"/>
    <w:rsid w:val="00AE5508"/>
    <w:rsid w:val="00B7100D"/>
    <w:rsid w:val="00B9000F"/>
    <w:rsid w:val="00BA7591"/>
    <w:rsid w:val="00BB3C5E"/>
    <w:rsid w:val="00BC7E64"/>
    <w:rsid w:val="00C17795"/>
    <w:rsid w:val="00C357E3"/>
    <w:rsid w:val="00C42276"/>
    <w:rsid w:val="00CA2970"/>
    <w:rsid w:val="00CE0EA1"/>
    <w:rsid w:val="00D852DC"/>
    <w:rsid w:val="00D93CF4"/>
    <w:rsid w:val="00E153BD"/>
    <w:rsid w:val="00E31667"/>
    <w:rsid w:val="00E55DA0"/>
    <w:rsid w:val="00E718F0"/>
    <w:rsid w:val="00EB7D1E"/>
    <w:rsid w:val="00ED60A0"/>
    <w:rsid w:val="00EF2815"/>
    <w:rsid w:val="00F0665F"/>
    <w:rsid w:val="00F23975"/>
    <w:rsid w:val="00F54372"/>
    <w:rsid w:val="00F6714E"/>
    <w:rsid w:val="00F73741"/>
    <w:rsid w:val="00F8423E"/>
    <w:rsid w:val="00FB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FE17E"/>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135</Words>
  <Characters>775</Characters>
  <Application>Microsoft Office Word</Application>
  <DocSecurity>0</DocSecurity>
  <Lines>6</Lines>
  <Paragraphs>1</Paragraphs>
  <ScaleCrop>false</ScaleCrop>
  <Company>微软中国</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21</cp:revision>
  <dcterms:created xsi:type="dcterms:W3CDTF">2025-04-15T08:25:00Z</dcterms:created>
  <dcterms:modified xsi:type="dcterms:W3CDTF">2025-06-12T08:18:00Z</dcterms:modified>
</cp:coreProperties>
</file>