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DB0" w:rsidRPr="00C122DC" w:rsidRDefault="00794004" w:rsidP="00C122DC">
      <w:pPr>
        <w:jc w:val="center"/>
        <w:rPr>
          <w:rFonts w:ascii="黑体" w:eastAsia="黑体" w:hAnsi="黑体"/>
          <w:b/>
          <w:sz w:val="32"/>
        </w:rPr>
      </w:pPr>
      <w:r w:rsidRPr="00C122DC">
        <w:rPr>
          <w:rFonts w:ascii="黑体" w:eastAsia="黑体" w:hAnsi="黑体" w:hint="eastAsia"/>
          <w:b/>
          <w:sz w:val="32"/>
        </w:rPr>
        <w:t xml:space="preserve">旭说金市 </w:t>
      </w:r>
      <w:r w:rsidRPr="00C122DC">
        <w:rPr>
          <w:rFonts w:ascii="黑体" w:eastAsia="黑体" w:hAnsi="黑体"/>
          <w:b/>
          <w:sz w:val="32"/>
        </w:rPr>
        <w:t xml:space="preserve">| </w:t>
      </w:r>
      <w:r w:rsidRPr="00C122DC">
        <w:rPr>
          <w:rFonts w:ascii="黑体" w:eastAsia="黑体" w:hAnsi="黑体" w:hint="eastAsia"/>
          <w:b/>
          <w:sz w:val="32"/>
        </w:rPr>
        <w:t>美联储释放宽松信号，黄金再创新高</w:t>
      </w:r>
    </w:p>
    <w:p w:rsidR="00794004" w:rsidRDefault="00794004"/>
    <w:p w:rsidR="00794004" w:rsidRDefault="00C122DC">
      <w:bookmarkStart w:id="0" w:name="_GoBack"/>
      <w:r>
        <w:rPr>
          <w:noProof/>
        </w:rPr>
        <w:drawing>
          <wp:inline distT="0" distB="0" distL="0" distR="0" wp14:anchorId="25ACB6E2" wp14:editId="3B1D11E6">
            <wp:extent cx="5274310" cy="1998980"/>
            <wp:effectExtent l="0" t="0" r="254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1998980"/>
                    </a:xfrm>
                    <a:prstGeom prst="rect">
                      <a:avLst/>
                    </a:prstGeom>
                  </pic:spPr>
                </pic:pic>
              </a:graphicData>
            </a:graphic>
          </wp:inline>
        </w:drawing>
      </w:r>
      <w:bookmarkEnd w:id="0"/>
    </w:p>
    <w:p w:rsidR="00794004" w:rsidRDefault="00794004">
      <w:r>
        <w:rPr>
          <w:rFonts w:hint="eastAsia"/>
        </w:rPr>
        <w:t>黄金再创新高，截至下午四点外盘黄金现货最高达到</w:t>
      </w:r>
      <w:r>
        <w:rPr>
          <w:rFonts w:hint="eastAsia"/>
        </w:rPr>
        <w:t>2</w:t>
      </w:r>
      <w:r>
        <w:t>954</w:t>
      </w:r>
      <w:r>
        <w:rPr>
          <w:rFonts w:hint="eastAsia"/>
        </w:rPr>
        <w:t>美元</w:t>
      </w:r>
      <w:r>
        <w:rPr>
          <w:rFonts w:hint="eastAsia"/>
        </w:rPr>
        <w:t>/</w:t>
      </w:r>
      <w:r>
        <w:rPr>
          <w:rFonts w:hint="eastAsia"/>
        </w:rPr>
        <w:t>盎司，在前高上方站稳；国内黄金期货主力合约收至</w:t>
      </w:r>
      <w:r>
        <w:rPr>
          <w:rFonts w:hint="eastAsia"/>
        </w:rPr>
        <w:t>6</w:t>
      </w:r>
      <w:r>
        <w:t>90</w:t>
      </w:r>
      <w:r>
        <w:rPr>
          <w:rFonts w:hint="eastAsia"/>
        </w:rPr>
        <w:t>元</w:t>
      </w:r>
      <w:r>
        <w:rPr>
          <w:rFonts w:hint="eastAsia"/>
        </w:rPr>
        <w:t>/</w:t>
      </w:r>
      <w:r>
        <w:rPr>
          <w:rFonts w:hint="eastAsia"/>
        </w:rPr>
        <w:t>克，接近前高</w:t>
      </w:r>
      <w:r>
        <w:rPr>
          <w:rFonts w:hint="eastAsia"/>
        </w:rPr>
        <w:t>6</w:t>
      </w:r>
      <w:r>
        <w:t>91.76</w:t>
      </w:r>
      <w:r>
        <w:rPr>
          <w:rFonts w:hint="eastAsia"/>
        </w:rPr>
        <w:t>元</w:t>
      </w:r>
      <w:r>
        <w:t>/</w:t>
      </w:r>
      <w:r>
        <w:rPr>
          <w:rFonts w:hint="eastAsia"/>
        </w:rPr>
        <w:t>克。</w:t>
      </w:r>
    </w:p>
    <w:p w:rsidR="00794004" w:rsidRDefault="00794004">
      <w:r>
        <w:rPr>
          <w:rFonts w:hint="eastAsia"/>
        </w:rPr>
        <w:t>基本面看，今日凌晨美联储发布</w:t>
      </w:r>
      <w:r>
        <w:rPr>
          <w:rFonts w:hint="eastAsia"/>
        </w:rPr>
        <w:t>1</w:t>
      </w:r>
      <w:r>
        <w:rPr>
          <w:rFonts w:hint="eastAsia"/>
        </w:rPr>
        <w:t>月会议纪要，表示</w:t>
      </w:r>
      <w:r w:rsidRPr="00794004">
        <w:rPr>
          <w:rFonts w:hint="eastAsia"/>
        </w:rPr>
        <w:t>考虑在债务上限问题解决之前暂停或放慢缩表可能是合适的</w:t>
      </w:r>
      <w:r>
        <w:rPr>
          <w:rFonts w:hint="eastAsia"/>
        </w:rPr>
        <w:t>，暗示货币政策边际宽松，缓解市场流动性。为黄金带来进一步向上驱动。</w:t>
      </w:r>
    </w:p>
    <w:p w:rsidR="00C122DC" w:rsidRDefault="00794004">
      <w:r>
        <w:rPr>
          <w:rFonts w:hint="eastAsia"/>
        </w:rPr>
        <w:t>我们认为信用货币格局变革为长线大逻辑，美俄联手会不会终止美元信用弱化</w:t>
      </w:r>
      <w:r w:rsidRPr="00794004">
        <w:rPr>
          <w:rFonts w:hint="eastAsia"/>
        </w:rPr>
        <w:t>目前来说为时尚早，且尚不能证伪。</w:t>
      </w:r>
      <w:r w:rsidR="00C122DC">
        <w:rPr>
          <w:rFonts w:hint="eastAsia"/>
        </w:rPr>
        <w:t>短线受通胀、经济、货币政策、关税等消息会有扰动，但向上的大方向难以扭转</w:t>
      </w:r>
      <w:r w:rsidRPr="00794004">
        <w:rPr>
          <w:rFonts w:hint="eastAsia"/>
        </w:rPr>
        <w:t>。</w:t>
      </w:r>
      <w:r w:rsidR="00C122DC">
        <w:rPr>
          <w:rFonts w:hint="eastAsia"/>
        </w:rPr>
        <w:t>本周无重大消息，可关注周五标普</w:t>
      </w:r>
      <w:r w:rsidR="00C122DC">
        <w:rPr>
          <w:rFonts w:hint="eastAsia"/>
        </w:rPr>
        <w:t>P</w:t>
      </w:r>
      <w:r w:rsidR="00C122DC">
        <w:t>MI</w:t>
      </w:r>
      <w:r w:rsidR="00C122DC">
        <w:rPr>
          <w:rFonts w:hint="eastAsia"/>
        </w:rPr>
        <w:t>、消费者信心等数据。</w:t>
      </w:r>
    </w:p>
    <w:p w:rsidR="00C122DC" w:rsidRPr="00C122DC" w:rsidRDefault="00C122DC">
      <w:r>
        <w:rPr>
          <w:rFonts w:hint="eastAsia"/>
        </w:rPr>
        <w:t>技术上，外盘黄金现货均线多头排列，多头技术稳健，下方支撑关注</w:t>
      </w:r>
      <w:r>
        <w:rPr>
          <w:rFonts w:hint="eastAsia"/>
        </w:rPr>
        <w:t>2</w:t>
      </w:r>
      <w:r>
        <w:t>900</w:t>
      </w:r>
      <w:r>
        <w:rPr>
          <w:rFonts w:hint="eastAsia"/>
        </w:rPr>
        <w:t>。</w:t>
      </w:r>
    </w:p>
    <w:p w:rsidR="00794004" w:rsidRDefault="00794004">
      <w:r w:rsidRPr="00794004">
        <w:rPr>
          <w:rFonts w:hint="eastAsia"/>
        </w:rPr>
        <w:t>金银观点：</w:t>
      </w:r>
      <w:r w:rsidR="00C122DC">
        <w:rPr>
          <w:rFonts w:hint="eastAsia"/>
        </w:rPr>
        <w:t>黄金或延续偏多，此前涨幅较大、做好风险管理；白银相比黄金表现羸弱，后续关注补涨机会。</w:t>
      </w:r>
    </w:p>
    <w:p w:rsidR="00C122DC" w:rsidRDefault="00C122DC">
      <w:r>
        <w:rPr>
          <w:rFonts w:hint="eastAsia"/>
        </w:rPr>
        <w:t>风险点：通胀超预期反弹、流动性风险、经济数据好转、美联储货币政策边际收紧。</w:t>
      </w:r>
    </w:p>
    <w:p w:rsidR="00C122DC" w:rsidRDefault="00C122DC"/>
    <w:p w:rsidR="00C122DC" w:rsidRDefault="00C122DC">
      <w:pPr>
        <w:rPr>
          <w:rFonts w:hint="eastAsia"/>
        </w:rPr>
      </w:pPr>
    </w:p>
    <w:p w:rsidR="00C122DC" w:rsidRDefault="00C122DC" w:rsidP="00C122DC">
      <w:pPr>
        <w:jc w:val="center"/>
      </w:pPr>
      <w:r w:rsidRPr="00C122DC">
        <w:rPr>
          <w:rFonts w:hint="eastAsia"/>
        </w:rPr>
        <w:t>免责声明</w:t>
      </w:r>
    </w:p>
    <w:p w:rsidR="00794004" w:rsidRDefault="00C122DC">
      <w:pPr>
        <w:rPr>
          <w:rFonts w:hint="eastAsia"/>
        </w:rPr>
      </w:pPr>
      <w:r w:rsidRPr="00C122DC">
        <w:rPr>
          <w:rFonts w:hint="eastAsia"/>
        </w:rPr>
        <w:t>本报告内容形成采用的基础数据信息均来源于公开资料，我公司对这类信息的准确性和完整性不做任何保证，也不保证所包含的信息和报告中得出结论及给出的建议不会发生任何变更。我们已力求报告内容的客观、公正，但文中的观点、结论和建议仅供参考。交易者据此做出的任何交易决策与本公司和作者无关，本公司不承担交易者对此作出交易决策而产生的任何风险，亦不对交易者作出此类交易决策做任何形式的担保。本报告版权为我公司所有，未经书面许可，任何机构和个人不得以任何形式对本报告全部或部分内容翻版、复制发布，如引用、刊发，须注明出处为山东齐盛期货有限公司，且不得对本报告进行有悖原意的引用、删节和修改。未经授权的侵权行为与我公司无关，我公司对侵权行为给公司造成的声誉、经济损失保留追诉权利。</w:t>
      </w:r>
    </w:p>
    <w:sectPr w:rsidR="007940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C59" w:rsidRDefault="00430C59" w:rsidP="00794004">
      <w:r>
        <w:separator/>
      </w:r>
    </w:p>
  </w:endnote>
  <w:endnote w:type="continuationSeparator" w:id="0">
    <w:p w:rsidR="00430C59" w:rsidRDefault="00430C59" w:rsidP="00794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C59" w:rsidRDefault="00430C59" w:rsidP="00794004">
      <w:r>
        <w:separator/>
      </w:r>
    </w:p>
  </w:footnote>
  <w:footnote w:type="continuationSeparator" w:id="0">
    <w:p w:rsidR="00430C59" w:rsidRDefault="00430C59" w:rsidP="007940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D84"/>
    <w:rsid w:val="00430C59"/>
    <w:rsid w:val="0062598F"/>
    <w:rsid w:val="00794004"/>
    <w:rsid w:val="007D6D84"/>
    <w:rsid w:val="00C122DC"/>
    <w:rsid w:val="00E31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F45017"/>
  <w15:chartTrackingRefBased/>
  <w15:docId w15:val="{46643D73-15B7-485D-8529-513EA7CC5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400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94004"/>
    <w:rPr>
      <w:sz w:val="18"/>
      <w:szCs w:val="18"/>
    </w:rPr>
  </w:style>
  <w:style w:type="paragraph" w:styleId="a5">
    <w:name w:val="footer"/>
    <w:basedOn w:val="a"/>
    <w:link w:val="a6"/>
    <w:uiPriority w:val="99"/>
    <w:unhideWhenUsed/>
    <w:rsid w:val="00794004"/>
    <w:pPr>
      <w:tabs>
        <w:tab w:val="center" w:pos="4153"/>
        <w:tab w:val="right" w:pos="8306"/>
      </w:tabs>
      <w:snapToGrid w:val="0"/>
      <w:jc w:val="left"/>
    </w:pPr>
    <w:rPr>
      <w:sz w:val="18"/>
      <w:szCs w:val="18"/>
    </w:rPr>
  </w:style>
  <w:style w:type="character" w:customStyle="1" w:styleId="a6">
    <w:name w:val="页脚 字符"/>
    <w:basedOn w:val="a0"/>
    <w:link w:val="a5"/>
    <w:uiPriority w:val="99"/>
    <w:rsid w:val="0079400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113</Words>
  <Characters>647</Characters>
  <Application>Microsoft Office Word</Application>
  <DocSecurity>0</DocSecurity>
  <Lines>5</Lines>
  <Paragraphs>1</Paragraphs>
  <ScaleCrop>false</ScaleCrop>
  <Company>微软中国</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2025-02-20T07:49:00Z</dcterms:created>
  <dcterms:modified xsi:type="dcterms:W3CDTF">2025-02-20T08:06:00Z</dcterms:modified>
</cp:coreProperties>
</file>