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5F331A" w:rsidRDefault="009041FB" w:rsidP="009041FB">
      <w:pPr>
        <w:jc w:val="center"/>
        <w:rPr>
          <w:b/>
          <w:sz w:val="28"/>
          <w:szCs w:val="32"/>
        </w:rPr>
      </w:pPr>
      <w:bookmarkStart w:id="0" w:name="OLE_LINK1"/>
      <w:r w:rsidRPr="005F331A">
        <w:rPr>
          <w:rFonts w:hint="eastAsia"/>
          <w:b/>
          <w:sz w:val="28"/>
          <w:szCs w:val="32"/>
        </w:rPr>
        <w:t>旭说金市</w:t>
      </w:r>
      <w:r w:rsidRPr="005F331A">
        <w:rPr>
          <w:rFonts w:hint="eastAsia"/>
          <w:b/>
          <w:sz w:val="28"/>
          <w:szCs w:val="32"/>
        </w:rPr>
        <w:t xml:space="preserve"> </w:t>
      </w:r>
      <w:r w:rsidRPr="005F331A">
        <w:rPr>
          <w:b/>
          <w:sz w:val="28"/>
          <w:szCs w:val="32"/>
        </w:rPr>
        <w:t>|</w:t>
      </w:r>
      <w:r w:rsidR="00F83B34">
        <w:rPr>
          <w:rFonts w:hint="eastAsia"/>
          <w:b/>
          <w:sz w:val="28"/>
          <w:szCs w:val="32"/>
        </w:rPr>
        <w:t>金价调整尚未结束，暂时观望</w:t>
      </w:r>
    </w:p>
    <w:bookmarkEnd w:id="0"/>
    <w:p w:rsidR="005F331A" w:rsidRDefault="00F83B34">
      <w:r>
        <w:rPr>
          <w:noProof/>
        </w:rPr>
        <w:drawing>
          <wp:inline distT="0" distB="0" distL="0" distR="0" wp14:anchorId="42BE93FE" wp14:editId="2C695324">
            <wp:extent cx="5274310" cy="25177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517775"/>
                    </a:xfrm>
                    <a:prstGeom prst="rect">
                      <a:avLst/>
                    </a:prstGeom>
                  </pic:spPr>
                </pic:pic>
              </a:graphicData>
            </a:graphic>
          </wp:inline>
        </w:drawing>
      </w:r>
    </w:p>
    <w:p w:rsidR="00F83B34" w:rsidRDefault="00F83B34" w:rsidP="0022245A">
      <w:r>
        <w:rPr>
          <w:rFonts w:hint="eastAsia"/>
        </w:rPr>
        <w:t>今天金价</w:t>
      </w:r>
      <w:r w:rsidR="0022245A">
        <w:rPr>
          <w:rFonts w:hint="eastAsia"/>
        </w:rPr>
        <w:t>震荡</w:t>
      </w:r>
      <w:r>
        <w:rPr>
          <w:rFonts w:hint="eastAsia"/>
        </w:rPr>
        <w:t>偏弱</w:t>
      </w:r>
      <w:r w:rsidR="0022245A">
        <w:rPr>
          <w:rFonts w:hint="eastAsia"/>
        </w:rPr>
        <w:t>，</w:t>
      </w:r>
      <w:r>
        <w:rPr>
          <w:rFonts w:hint="eastAsia"/>
        </w:rPr>
        <w:t>尚未出现企稳信号。内盘相比外盘表现相对羸弱，沪金主力合约接近</w:t>
      </w:r>
      <w:r>
        <w:rPr>
          <w:rFonts w:hint="eastAsia"/>
        </w:rPr>
        <w:t>4</w:t>
      </w:r>
      <w:r>
        <w:rPr>
          <w:rFonts w:hint="eastAsia"/>
        </w:rPr>
        <w:t>月</w:t>
      </w:r>
      <w:r>
        <w:rPr>
          <w:rFonts w:hint="eastAsia"/>
        </w:rPr>
        <w:t>2</w:t>
      </w:r>
      <w:r>
        <w:t>3</w:t>
      </w:r>
      <w:r>
        <w:rPr>
          <w:rFonts w:hint="eastAsia"/>
        </w:rPr>
        <w:t>日下跌所形成的低点附近，。</w:t>
      </w:r>
      <w:r w:rsidR="0022245A">
        <w:rPr>
          <w:rFonts w:hint="eastAsia"/>
        </w:rPr>
        <w:t>截至收盘外盘黄金现货收至</w:t>
      </w:r>
      <w:r>
        <w:t>3282</w:t>
      </w:r>
      <w:r w:rsidR="0022245A">
        <w:rPr>
          <w:rFonts w:hint="eastAsia"/>
        </w:rPr>
        <w:t>美元</w:t>
      </w:r>
      <w:r w:rsidR="0022245A">
        <w:rPr>
          <w:rFonts w:hint="eastAsia"/>
        </w:rPr>
        <w:t>/</w:t>
      </w:r>
      <w:r>
        <w:rPr>
          <w:rFonts w:hint="eastAsia"/>
        </w:rPr>
        <w:t>盎司，日内下跌</w:t>
      </w:r>
      <w:r>
        <w:t>-1.1</w:t>
      </w:r>
      <w:r w:rsidR="0022245A">
        <w:t>%</w:t>
      </w:r>
      <w:r w:rsidR="0022245A">
        <w:rPr>
          <w:rFonts w:hint="eastAsia"/>
        </w:rPr>
        <w:t>，国内黄金期货主力合约收至</w:t>
      </w:r>
      <w:r>
        <w:t>780.4</w:t>
      </w:r>
      <w:r w:rsidR="0022245A">
        <w:rPr>
          <w:rFonts w:hint="eastAsia"/>
        </w:rPr>
        <w:t>元</w:t>
      </w:r>
      <w:r w:rsidR="0022245A">
        <w:rPr>
          <w:rFonts w:hint="eastAsia"/>
        </w:rPr>
        <w:t>/</w:t>
      </w:r>
      <w:r w:rsidR="0022245A">
        <w:rPr>
          <w:rFonts w:hint="eastAsia"/>
        </w:rPr>
        <w:t>克，日内下跌</w:t>
      </w:r>
      <w:r>
        <w:t>-1.44</w:t>
      </w:r>
      <w:r w:rsidR="0022245A">
        <w:t>%</w:t>
      </w:r>
      <w:r>
        <w:rPr>
          <w:rFonts w:hint="eastAsia"/>
        </w:rPr>
        <w:t>，白银期货主力合约收至</w:t>
      </w:r>
      <w:r>
        <w:rPr>
          <w:rFonts w:hint="eastAsia"/>
        </w:rPr>
        <w:t>8</w:t>
      </w:r>
      <w:r>
        <w:t>168</w:t>
      </w:r>
      <w:r>
        <w:rPr>
          <w:rFonts w:hint="eastAsia"/>
        </w:rPr>
        <w:t>元</w:t>
      </w:r>
      <w:r>
        <w:rPr>
          <w:rFonts w:hint="eastAsia"/>
        </w:rPr>
        <w:t>/</w:t>
      </w:r>
      <w:r>
        <w:rPr>
          <w:rFonts w:hint="eastAsia"/>
        </w:rPr>
        <w:t>千克，下跌</w:t>
      </w:r>
      <w:r>
        <w:rPr>
          <w:rFonts w:hint="eastAsia"/>
        </w:rPr>
        <w:t>1</w:t>
      </w:r>
      <w:r>
        <w:t>.52%</w:t>
      </w:r>
      <w:r w:rsidR="0022245A">
        <w:rPr>
          <w:rFonts w:hint="eastAsia"/>
        </w:rPr>
        <w:t>。</w:t>
      </w:r>
    </w:p>
    <w:p w:rsidR="00F83B34" w:rsidRDefault="00F83B34" w:rsidP="0022245A">
      <w:r>
        <w:rPr>
          <w:rFonts w:hint="eastAsia"/>
        </w:rPr>
        <w:t>技术上看，</w:t>
      </w:r>
      <w:bookmarkStart w:id="1" w:name="_GoBack"/>
      <w:r>
        <w:rPr>
          <w:rFonts w:hint="eastAsia"/>
        </w:rPr>
        <w:t>沪金重心逐步下移，接近前期支撑，有继续下破风险。</w:t>
      </w:r>
    </w:p>
    <w:p w:rsidR="0073650A" w:rsidRDefault="00F83B34" w:rsidP="0022245A">
      <w:r>
        <w:rPr>
          <w:rFonts w:hint="eastAsia"/>
        </w:rPr>
        <w:t>基本面看，上周美方释放谈判信号，同时特朗普放缓对美联储逼迫，市场风险偏好</w:t>
      </w:r>
      <w:r w:rsidR="0073650A">
        <w:rPr>
          <w:rFonts w:hint="eastAsia"/>
        </w:rPr>
        <w:t>回升。目前中美关税博弈达到极值后，氛围</w:t>
      </w:r>
      <w:r>
        <w:rPr>
          <w:rFonts w:hint="eastAsia"/>
        </w:rPr>
        <w:t>边际缓和，避险</w:t>
      </w:r>
      <w:r w:rsidR="0073650A">
        <w:rPr>
          <w:rFonts w:hint="eastAsia"/>
        </w:rPr>
        <w:t>情绪回落，短线缺乏支撑，很难继续上涨。</w:t>
      </w:r>
    </w:p>
    <w:p w:rsidR="0022245A" w:rsidRDefault="0022245A" w:rsidP="0022245A">
      <w:r>
        <w:rPr>
          <w:rFonts w:hint="eastAsia"/>
        </w:rPr>
        <w:t>中线</w:t>
      </w:r>
      <w:r w:rsidR="0073650A">
        <w:rPr>
          <w:rFonts w:hint="eastAsia"/>
        </w:rPr>
        <w:t>看，</w:t>
      </w:r>
      <w:r>
        <w:rPr>
          <w:rFonts w:hint="eastAsia"/>
        </w:rPr>
        <w:t>经济走弱的大方向并没有发生本质性改变，</w:t>
      </w:r>
      <w:r w:rsidR="0073650A">
        <w:rPr>
          <w:rFonts w:hint="eastAsia"/>
        </w:rPr>
        <w:t>只是关税缓和延缓了衰退节奏：</w:t>
      </w:r>
      <w:r>
        <w:rPr>
          <w:rFonts w:hint="eastAsia"/>
        </w:rPr>
        <w:t>一方面是美联储当前的利率水平仍然较高，对经济抑制作用仍然存在。另外一方面，美国对所有国家仍然保留了</w:t>
      </w:r>
      <w:r>
        <w:rPr>
          <w:rFonts w:hint="eastAsia"/>
        </w:rPr>
        <w:t>10%</w:t>
      </w:r>
      <w:r>
        <w:rPr>
          <w:rFonts w:hint="eastAsia"/>
        </w:rPr>
        <w:t>的基础关税，不利于经济的复苏。近期市场对美国一季度经济增速预期回落至</w:t>
      </w:r>
      <w:r>
        <w:rPr>
          <w:rFonts w:hint="eastAsia"/>
        </w:rPr>
        <w:t>-2.2%</w:t>
      </w:r>
      <w:r>
        <w:rPr>
          <w:rFonts w:hint="eastAsia"/>
        </w:rPr>
        <w:t>，主要拖累项就是关税，考虑到关税政策在短时间内不太能直接解除，所以关税对经济所带来的负面影响还会逐步显现，那么美联储未来就存在加快宽松节奏的可能性。</w:t>
      </w:r>
    </w:p>
    <w:p w:rsidR="009041FB" w:rsidRDefault="0022245A" w:rsidP="0022245A">
      <w:r>
        <w:rPr>
          <w:rFonts w:hint="eastAsia"/>
        </w:rPr>
        <w:t>因此从中线看，黄金仍然有继续上涨的驱动。</w:t>
      </w:r>
    </w:p>
    <w:p w:rsidR="00A76F3F" w:rsidRDefault="00A76F3F" w:rsidP="0022245A">
      <w:pPr>
        <w:rPr>
          <w:rFonts w:hint="eastAsia"/>
        </w:rPr>
      </w:pPr>
      <w:r>
        <w:rPr>
          <w:rFonts w:hint="eastAsia"/>
        </w:rPr>
        <w:t>若伦敦金向下突破</w:t>
      </w:r>
      <w:r>
        <w:rPr>
          <w:rFonts w:hint="eastAsia"/>
        </w:rPr>
        <w:t>3</w:t>
      </w:r>
      <w:r>
        <w:t>265</w:t>
      </w:r>
      <w:r>
        <w:rPr>
          <w:rFonts w:hint="eastAsia"/>
        </w:rPr>
        <w:t>一线，国内黄金期货向下突破</w:t>
      </w:r>
      <w:r>
        <w:rPr>
          <w:rFonts w:hint="eastAsia"/>
        </w:rPr>
        <w:t>7</w:t>
      </w:r>
      <w:r>
        <w:t>75</w:t>
      </w:r>
      <w:r>
        <w:rPr>
          <w:rFonts w:hint="eastAsia"/>
        </w:rPr>
        <w:t>一线，短线或有进一步回调风险。</w:t>
      </w:r>
    </w:p>
    <w:p w:rsidR="0022245A" w:rsidRDefault="0073650A" w:rsidP="0022245A">
      <w:r>
        <w:rPr>
          <w:rFonts w:hint="eastAsia"/>
        </w:rPr>
        <w:t>观点：多头技术破坏，暂时观望；临近五一假期，做好风险管理</w:t>
      </w:r>
      <w:r w:rsidR="0022245A">
        <w:rPr>
          <w:rFonts w:hint="eastAsia"/>
        </w:rPr>
        <w:t>。</w:t>
      </w:r>
    </w:p>
    <w:bookmarkEnd w:id="1"/>
    <w:p w:rsidR="009041FB" w:rsidRPr="009041FB" w:rsidRDefault="009041FB"/>
    <w:p w:rsidR="009041FB" w:rsidRDefault="009041FB" w:rsidP="009041FB">
      <w:pPr>
        <w:jc w:val="center"/>
      </w:pPr>
      <w:bookmarkStart w:id="2" w:name="OLE_LINK2"/>
      <w:bookmarkStart w:id="3" w:name="OLE_LINK3"/>
      <w:bookmarkStart w:id="4" w:name="OLE_LINK4"/>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p>
    <w:sectPr w:rsidR="009041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D30" w:rsidRDefault="00822D30" w:rsidP="0022245A">
      <w:r>
        <w:separator/>
      </w:r>
    </w:p>
  </w:endnote>
  <w:endnote w:type="continuationSeparator" w:id="0">
    <w:p w:rsidR="00822D30" w:rsidRDefault="00822D30" w:rsidP="0022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D30" w:rsidRDefault="00822D30" w:rsidP="0022245A">
      <w:r>
        <w:separator/>
      </w:r>
    </w:p>
  </w:footnote>
  <w:footnote w:type="continuationSeparator" w:id="0">
    <w:p w:rsidR="00822D30" w:rsidRDefault="00822D30" w:rsidP="00222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15"/>
    <w:rsid w:val="00025976"/>
    <w:rsid w:val="001F2FA4"/>
    <w:rsid w:val="00215CC0"/>
    <w:rsid w:val="0022245A"/>
    <w:rsid w:val="002C3D9E"/>
    <w:rsid w:val="002F3D3B"/>
    <w:rsid w:val="00543F8C"/>
    <w:rsid w:val="00566E28"/>
    <w:rsid w:val="00572031"/>
    <w:rsid w:val="005F331A"/>
    <w:rsid w:val="006351B7"/>
    <w:rsid w:val="006E566D"/>
    <w:rsid w:val="0073650A"/>
    <w:rsid w:val="00822D30"/>
    <w:rsid w:val="009041FB"/>
    <w:rsid w:val="00A37515"/>
    <w:rsid w:val="00A76F3F"/>
    <w:rsid w:val="00EC1864"/>
    <w:rsid w:val="00ED3201"/>
    <w:rsid w:val="00F10557"/>
    <w:rsid w:val="00F83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FC988"/>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4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245A"/>
    <w:rPr>
      <w:sz w:val="18"/>
      <w:szCs w:val="18"/>
    </w:rPr>
  </w:style>
  <w:style w:type="paragraph" w:styleId="a5">
    <w:name w:val="footer"/>
    <w:basedOn w:val="a"/>
    <w:link w:val="a6"/>
    <w:uiPriority w:val="99"/>
    <w:unhideWhenUsed/>
    <w:rsid w:val="0022245A"/>
    <w:pPr>
      <w:tabs>
        <w:tab w:val="center" w:pos="4153"/>
        <w:tab w:val="right" w:pos="8306"/>
      </w:tabs>
      <w:snapToGrid w:val="0"/>
      <w:jc w:val="left"/>
    </w:pPr>
    <w:rPr>
      <w:sz w:val="18"/>
      <w:szCs w:val="18"/>
    </w:rPr>
  </w:style>
  <w:style w:type="character" w:customStyle="1" w:styleId="a6">
    <w:name w:val="页脚 字符"/>
    <w:basedOn w:val="a0"/>
    <w:link w:val="a5"/>
    <w:uiPriority w:val="99"/>
    <w:rsid w:val="002224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9</cp:revision>
  <dcterms:created xsi:type="dcterms:W3CDTF">2025-04-18T09:35:00Z</dcterms:created>
  <dcterms:modified xsi:type="dcterms:W3CDTF">2025-04-28T08:51:00Z</dcterms:modified>
</cp:coreProperties>
</file>