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2C5" w:rsidRPr="00DB15EC" w:rsidRDefault="00DB15EC" w:rsidP="00DB15EC">
      <w:pPr>
        <w:jc w:val="center"/>
        <w:rPr>
          <w:b/>
          <w:sz w:val="28"/>
        </w:rPr>
      </w:pPr>
      <w:r w:rsidRPr="00DB15EC">
        <w:rPr>
          <w:rFonts w:hint="eastAsia"/>
          <w:b/>
          <w:sz w:val="28"/>
        </w:rPr>
        <w:t>齐盛贵金属日评</w:t>
      </w:r>
      <w:r w:rsidRPr="00DB15EC">
        <w:rPr>
          <w:b/>
          <w:sz w:val="28"/>
        </w:rPr>
        <w:t>—</w:t>
      </w:r>
      <w:r w:rsidR="009D012F">
        <w:rPr>
          <w:rFonts w:hint="eastAsia"/>
          <w:b/>
          <w:sz w:val="28"/>
        </w:rPr>
        <w:t>金银波动收敛，继续关注向上机会</w:t>
      </w:r>
    </w:p>
    <w:p w:rsidR="002960C3" w:rsidRDefault="002960C3" w:rsidP="009D012F">
      <w:pPr>
        <w:ind w:firstLineChars="200" w:firstLine="420"/>
        <w:jc w:val="right"/>
      </w:pPr>
      <w:r>
        <w:rPr>
          <w:rFonts w:hint="eastAsia"/>
        </w:rPr>
        <w:t xml:space="preserve"> </w:t>
      </w:r>
    </w:p>
    <w:p w:rsidR="002960C3" w:rsidRDefault="009D012F" w:rsidP="002960C3">
      <w:r>
        <w:rPr>
          <w:noProof/>
        </w:rPr>
        <w:drawing>
          <wp:inline distT="0" distB="0" distL="0" distR="0" wp14:anchorId="2E077E3F" wp14:editId="478DDC9E">
            <wp:extent cx="5274310" cy="19056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905635"/>
                    </a:xfrm>
                    <a:prstGeom prst="rect">
                      <a:avLst/>
                    </a:prstGeom>
                  </pic:spPr>
                </pic:pic>
              </a:graphicData>
            </a:graphic>
          </wp:inline>
        </w:drawing>
      </w:r>
    </w:p>
    <w:p w:rsidR="00596EDC" w:rsidRDefault="00596EDC" w:rsidP="00596EDC">
      <w:pPr>
        <w:rPr>
          <w:rFonts w:hint="eastAsia"/>
        </w:rPr>
      </w:pPr>
      <w:r>
        <w:rPr>
          <w:rFonts w:hint="eastAsia"/>
        </w:rPr>
        <w:t>最近比较重要的消息是，马斯克质疑美国诺克斯堡金库的真实性，之前一直传言是有</w:t>
      </w:r>
      <w:r>
        <w:rPr>
          <w:rFonts w:hint="eastAsia"/>
        </w:rPr>
        <w:t>4572</w:t>
      </w:r>
      <w:r>
        <w:rPr>
          <w:rFonts w:hint="eastAsia"/>
        </w:rPr>
        <w:t>吨黄金，既然马斯克质疑就说明可能数量不足或者压根没有。这些黄金算是美国的黄金储备，后面如果被证实的话，那么对美元还会有冲击，金价还又继续上涨的驱动。</w:t>
      </w:r>
    </w:p>
    <w:p w:rsidR="00596EDC" w:rsidRDefault="00596EDC" w:rsidP="00596EDC"/>
    <w:p w:rsidR="00596EDC" w:rsidRDefault="00596EDC" w:rsidP="00596EDC">
      <w:pPr>
        <w:rPr>
          <w:rFonts w:hint="eastAsia"/>
        </w:rPr>
      </w:pPr>
      <w:r>
        <w:rPr>
          <w:rFonts w:hint="eastAsia"/>
        </w:rPr>
        <w:t>除此之外，上周美联储公布了会议纪要，透露出下一步要暂停缩表或者减少缩表规模，这也意味着货币政策边际宽松，对市场是利多的。反过来看，因为缩表是在从市场抽取流动性，可能意味着未来美国的流动性会出现问题。流动性危机我们参考</w:t>
      </w:r>
      <w:r>
        <w:rPr>
          <w:rFonts w:hint="eastAsia"/>
        </w:rPr>
        <w:t>2020</w:t>
      </w:r>
      <w:r>
        <w:rPr>
          <w:rFonts w:hint="eastAsia"/>
        </w:rPr>
        <w:t>年</w:t>
      </w:r>
      <w:r>
        <w:rPr>
          <w:rFonts w:hint="eastAsia"/>
        </w:rPr>
        <w:t>3</w:t>
      </w:r>
      <w:r>
        <w:rPr>
          <w:rFonts w:hint="eastAsia"/>
        </w:rPr>
        <w:t>月年那次，美联储直接降息了</w:t>
      </w:r>
      <w:r>
        <w:rPr>
          <w:rFonts w:hint="eastAsia"/>
        </w:rPr>
        <w:t>100BP</w:t>
      </w:r>
      <w:r>
        <w:rPr>
          <w:rFonts w:hint="eastAsia"/>
        </w:rPr>
        <w:t>，然后从缩表转向阔表，金银是先走空再走多。</w:t>
      </w:r>
    </w:p>
    <w:p w:rsidR="00596EDC" w:rsidRDefault="00596EDC" w:rsidP="00596EDC"/>
    <w:p w:rsidR="00596EDC" w:rsidRPr="00596EDC" w:rsidRDefault="00596EDC" w:rsidP="00596EDC">
      <w:pPr>
        <w:rPr>
          <w:rFonts w:hint="eastAsia"/>
          <w:b/>
        </w:rPr>
      </w:pPr>
      <w:r w:rsidRPr="00596EDC">
        <w:rPr>
          <w:rFonts w:hint="eastAsia"/>
          <w:b/>
        </w:rPr>
        <w:t>我们认为美元信用弱化</w:t>
      </w:r>
      <w:bookmarkStart w:id="0" w:name="_GoBack"/>
      <w:bookmarkEnd w:id="0"/>
      <w:r w:rsidRPr="00596EDC">
        <w:rPr>
          <w:rFonts w:hint="eastAsia"/>
          <w:b/>
        </w:rPr>
        <w:t>+</w:t>
      </w:r>
      <w:r w:rsidRPr="00596EDC">
        <w:rPr>
          <w:rFonts w:hint="eastAsia"/>
          <w:b/>
        </w:rPr>
        <w:t>央行购金等大逻辑未发生改变，短线会受到经济数据及关税等消息面影响。</w:t>
      </w:r>
    </w:p>
    <w:p w:rsidR="00596EDC" w:rsidRPr="00596EDC" w:rsidRDefault="00596EDC" w:rsidP="00596EDC">
      <w:pPr>
        <w:rPr>
          <w:color w:val="FF0000"/>
        </w:rPr>
      </w:pPr>
    </w:p>
    <w:p w:rsidR="00596EDC" w:rsidRPr="00596EDC" w:rsidRDefault="00596EDC" w:rsidP="00596EDC">
      <w:pPr>
        <w:rPr>
          <w:rFonts w:hint="eastAsia"/>
          <w:b/>
          <w:color w:val="FF0000"/>
        </w:rPr>
      </w:pPr>
      <w:r w:rsidRPr="00596EDC">
        <w:rPr>
          <w:rFonts w:hint="eastAsia"/>
          <w:b/>
          <w:color w:val="FF0000"/>
        </w:rPr>
        <w:t>金银观点：黄金继续关注向上机会，前期涨幅较大，短线表现滞涨，做好风险管理；白银关注补涨机会。</w:t>
      </w:r>
    </w:p>
    <w:p w:rsidR="00596EDC" w:rsidRPr="00596EDC" w:rsidRDefault="00596EDC" w:rsidP="00596EDC">
      <w:pPr>
        <w:rPr>
          <w:b/>
        </w:rPr>
      </w:pPr>
    </w:p>
    <w:p w:rsidR="00DB15EC" w:rsidRPr="00596EDC" w:rsidRDefault="00596EDC" w:rsidP="00596EDC">
      <w:pPr>
        <w:rPr>
          <w:b/>
        </w:rPr>
      </w:pPr>
      <w:r w:rsidRPr="00596EDC">
        <w:rPr>
          <w:rFonts w:hint="eastAsia"/>
          <w:b/>
        </w:rPr>
        <w:t>风险点：</w:t>
      </w:r>
      <w:r w:rsidRPr="00596EDC">
        <w:rPr>
          <w:rFonts w:hint="eastAsia"/>
          <w:b/>
        </w:rPr>
        <w:t>1.</w:t>
      </w:r>
      <w:r w:rsidRPr="00596EDC">
        <w:rPr>
          <w:rFonts w:hint="eastAsia"/>
          <w:b/>
        </w:rPr>
        <w:t>通胀超预期反弹；</w:t>
      </w:r>
      <w:r w:rsidRPr="00596EDC">
        <w:rPr>
          <w:rFonts w:hint="eastAsia"/>
          <w:b/>
        </w:rPr>
        <w:t>2.</w:t>
      </w:r>
      <w:r w:rsidRPr="00596EDC">
        <w:rPr>
          <w:rFonts w:hint="eastAsia"/>
          <w:b/>
        </w:rPr>
        <w:t>经济反弹；</w:t>
      </w:r>
      <w:r w:rsidRPr="00596EDC">
        <w:rPr>
          <w:rFonts w:hint="eastAsia"/>
          <w:b/>
        </w:rPr>
        <w:t>3.</w:t>
      </w:r>
      <w:r w:rsidRPr="00596EDC">
        <w:rPr>
          <w:rFonts w:hint="eastAsia"/>
          <w:b/>
        </w:rPr>
        <w:t>美联储货币政策收紧；</w:t>
      </w:r>
      <w:r w:rsidRPr="00596EDC">
        <w:rPr>
          <w:rFonts w:hint="eastAsia"/>
          <w:b/>
        </w:rPr>
        <w:t>4.</w:t>
      </w:r>
      <w:r w:rsidRPr="00596EDC">
        <w:rPr>
          <w:rFonts w:hint="eastAsia"/>
          <w:b/>
        </w:rPr>
        <w:t>流动性危机。</w:t>
      </w:r>
    </w:p>
    <w:p w:rsidR="002960C3" w:rsidRDefault="002960C3" w:rsidP="002960C3">
      <w:pPr>
        <w:jc w:val="center"/>
      </w:pPr>
    </w:p>
    <w:p w:rsidR="002960C3" w:rsidRDefault="002960C3" w:rsidP="002960C3">
      <w:pPr>
        <w:jc w:val="center"/>
      </w:pPr>
      <w:r>
        <w:rPr>
          <w:rFonts w:hint="eastAsia"/>
        </w:rPr>
        <w:t>免责声明</w:t>
      </w:r>
    </w:p>
    <w:p w:rsidR="002960C3" w:rsidRPr="00DB15EC" w:rsidRDefault="002960C3" w:rsidP="002960C3">
      <w:pPr>
        <w:ind w:firstLineChars="200" w:firstLine="420"/>
      </w:pPr>
      <w:r>
        <w:rPr>
          <w:rFonts w:hint="eastAsia"/>
        </w:rPr>
        <w:t>本报告内容形成采用的基础数据信息均来源于公开资料，我公司对这类信息的准确性和完整性不做任何保证，也不保证所包含的信息和报告中得出的结论及给出的建议不会发生任何变更。我们已力求报告内容的客观、公正，但文中的观点、结论和建议仅供参考。交易者据此做出的任何交易决策与本公司和作者无关，本公司不承担交易者对此作出交易决策而产生的任何风险，亦不对交易者作出此类交易决策做任何形式的担保。本报告版权为我公司所有，未经书面许可，任何机构和个人不得以任何形式对本报告全部或部分内容翻版、复制发布，如引用、刊发，须注明出处为山东齐盛期货有限公司，且不得对本报告进行有悖原意的引用、删节和修改。未经授权的侵权行为与我公司无关，我公司对侵权行为给公司造成的声誉、经济损失保留追诉权利。</w:t>
      </w:r>
    </w:p>
    <w:sectPr w:rsidR="002960C3" w:rsidRPr="00DB15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F29" w:rsidRDefault="00331F29" w:rsidP="00DB15EC">
      <w:r>
        <w:separator/>
      </w:r>
    </w:p>
  </w:endnote>
  <w:endnote w:type="continuationSeparator" w:id="0">
    <w:p w:rsidR="00331F29" w:rsidRDefault="00331F29" w:rsidP="00DB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F29" w:rsidRDefault="00331F29" w:rsidP="00DB15EC">
      <w:r>
        <w:separator/>
      </w:r>
    </w:p>
  </w:footnote>
  <w:footnote w:type="continuationSeparator" w:id="0">
    <w:p w:rsidR="00331F29" w:rsidRDefault="00331F29" w:rsidP="00DB1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DAC"/>
    <w:rsid w:val="002712C5"/>
    <w:rsid w:val="002960C3"/>
    <w:rsid w:val="00331F29"/>
    <w:rsid w:val="003B05CA"/>
    <w:rsid w:val="00556F7A"/>
    <w:rsid w:val="00596EDC"/>
    <w:rsid w:val="009D012F"/>
    <w:rsid w:val="00AA0DAC"/>
    <w:rsid w:val="00DB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F60A1"/>
  <w15:chartTrackingRefBased/>
  <w15:docId w15:val="{4AE0E19F-199A-4231-B28B-1A6618A9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5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15EC"/>
    <w:rPr>
      <w:sz w:val="18"/>
      <w:szCs w:val="18"/>
    </w:rPr>
  </w:style>
  <w:style w:type="paragraph" w:styleId="a5">
    <w:name w:val="footer"/>
    <w:basedOn w:val="a"/>
    <w:link w:val="a6"/>
    <w:uiPriority w:val="99"/>
    <w:unhideWhenUsed/>
    <w:rsid w:val="00DB15EC"/>
    <w:pPr>
      <w:tabs>
        <w:tab w:val="center" w:pos="4153"/>
        <w:tab w:val="right" w:pos="8306"/>
      </w:tabs>
      <w:snapToGrid w:val="0"/>
      <w:jc w:val="left"/>
    </w:pPr>
    <w:rPr>
      <w:sz w:val="18"/>
      <w:szCs w:val="18"/>
    </w:rPr>
  </w:style>
  <w:style w:type="character" w:customStyle="1" w:styleId="a6">
    <w:name w:val="页脚 字符"/>
    <w:basedOn w:val="a0"/>
    <w:link w:val="a5"/>
    <w:uiPriority w:val="99"/>
    <w:rsid w:val="00DB15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会飞的蜗牛</dc:creator>
  <cp:keywords/>
  <dc:description/>
  <cp:lastModifiedBy>会飞的蜗牛</cp:lastModifiedBy>
  <cp:revision>4</cp:revision>
  <dcterms:created xsi:type="dcterms:W3CDTF">2025-02-17T07:41:00Z</dcterms:created>
  <dcterms:modified xsi:type="dcterms:W3CDTF">2025-02-24T08:02:00Z</dcterms:modified>
</cp:coreProperties>
</file>