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5129B5" w:rsidP="00C357E3">
      <w:pPr>
        <w:jc w:val="center"/>
        <w:rPr>
          <w:b/>
          <w:sz w:val="28"/>
        </w:rPr>
      </w:pPr>
      <w:r>
        <w:rPr>
          <w:rFonts w:hint="eastAsia"/>
          <w:b/>
          <w:sz w:val="28"/>
        </w:rPr>
        <w:t xml:space="preserve"> </w:t>
      </w:r>
      <w:r w:rsidR="00C357E3" w:rsidRPr="0056635F">
        <w:rPr>
          <w:rFonts w:hint="eastAsia"/>
          <w:b/>
          <w:sz w:val="28"/>
        </w:rPr>
        <w:t>旭说金市</w:t>
      </w:r>
      <w:r w:rsidR="00C357E3" w:rsidRPr="0056635F">
        <w:rPr>
          <w:rFonts w:hint="eastAsia"/>
          <w:b/>
          <w:sz w:val="28"/>
        </w:rPr>
        <w:t xml:space="preserve"> </w:t>
      </w:r>
      <w:r w:rsidR="00C357E3" w:rsidRPr="0056635F">
        <w:rPr>
          <w:b/>
          <w:sz w:val="28"/>
        </w:rPr>
        <w:t>|</w:t>
      </w:r>
      <w:r w:rsidR="00E153BD">
        <w:rPr>
          <w:rFonts w:hint="eastAsia"/>
          <w:b/>
          <w:sz w:val="28"/>
        </w:rPr>
        <w:t>触碰压力位，短线或面临调整</w:t>
      </w:r>
    </w:p>
    <w:p w:rsidR="00C357E3" w:rsidRDefault="00E153BD">
      <w:r>
        <w:rPr>
          <w:noProof/>
        </w:rPr>
        <w:drawing>
          <wp:inline distT="0" distB="0" distL="0" distR="0" wp14:anchorId="44910B36" wp14:editId="66DAD517">
            <wp:extent cx="5274310" cy="20046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004695"/>
                    </a:xfrm>
                    <a:prstGeom prst="rect">
                      <a:avLst/>
                    </a:prstGeom>
                  </pic:spPr>
                </pic:pic>
              </a:graphicData>
            </a:graphic>
          </wp:inline>
        </w:drawing>
      </w:r>
    </w:p>
    <w:p w:rsidR="00C42276" w:rsidRDefault="005A7EFF" w:rsidP="00C42276">
      <w:pPr>
        <w:ind w:right="278" w:firstLineChars="200" w:firstLine="560"/>
        <w:jc w:val="left"/>
        <w:rPr>
          <w:rFonts w:hint="eastAsia"/>
          <w:sz w:val="28"/>
        </w:rPr>
      </w:pPr>
      <w:bookmarkStart w:id="0" w:name="OLE_LINK6"/>
      <w:bookmarkStart w:id="1" w:name="OLE_LINK7"/>
      <w:bookmarkStart w:id="2" w:name="OLE_LINK1"/>
      <w:bookmarkStart w:id="3" w:name="OLE_LINK2"/>
      <w:bookmarkStart w:id="4" w:name="OLE_LINK3"/>
      <w:r w:rsidRPr="005A7EFF">
        <w:rPr>
          <w:rFonts w:hint="eastAsia"/>
          <w:sz w:val="28"/>
        </w:rPr>
        <w:t>今日</w:t>
      </w:r>
      <w:r>
        <w:rPr>
          <w:rFonts w:hint="eastAsia"/>
          <w:sz w:val="28"/>
        </w:rPr>
        <w:t>黄金维持多头趋势，</w:t>
      </w:r>
      <w:r w:rsidR="00E153BD">
        <w:rPr>
          <w:rFonts w:hint="eastAsia"/>
          <w:sz w:val="28"/>
        </w:rPr>
        <w:t>继续刷新高</w:t>
      </w:r>
      <w:r>
        <w:rPr>
          <w:rFonts w:hint="eastAsia"/>
          <w:sz w:val="28"/>
        </w:rPr>
        <w:t>新高</w:t>
      </w:r>
      <w:r w:rsidRPr="005A7EFF">
        <w:rPr>
          <w:rFonts w:hint="eastAsia"/>
          <w:sz w:val="28"/>
        </w:rPr>
        <w:t>，</w:t>
      </w:r>
      <w:r w:rsidR="00E153BD">
        <w:rPr>
          <w:rFonts w:hint="eastAsia"/>
          <w:sz w:val="28"/>
        </w:rPr>
        <w:t>下午两点半附近国际黄金现货价格触碰</w:t>
      </w:r>
      <w:r w:rsidR="00E153BD">
        <w:rPr>
          <w:rFonts w:hint="eastAsia"/>
          <w:sz w:val="28"/>
        </w:rPr>
        <w:t>3</w:t>
      </w:r>
      <w:r w:rsidR="00E153BD">
        <w:rPr>
          <w:sz w:val="28"/>
        </w:rPr>
        <w:t>500</w:t>
      </w:r>
      <w:r w:rsidR="00E153BD">
        <w:rPr>
          <w:rFonts w:hint="eastAsia"/>
          <w:sz w:val="28"/>
        </w:rPr>
        <w:t>整数关口后快速回落，</w:t>
      </w:r>
      <w:r w:rsidRPr="005A7EFF">
        <w:rPr>
          <w:rFonts w:hint="eastAsia"/>
          <w:sz w:val="28"/>
        </w:rPr>
        <w:t>截至下午三点</w:t>
      </w:r>
      <w:r w:rsidR="00E153BD">
        <w:rPr>
          <w:rFonts w:hint="eastAsia"/>
          <w:sz w:val="28"/>
        </w:rPr>
        <w:t>半，国际黄金现货价格较日内高点回落</w:t>
      </w:r>
      <w:r w:rsidR="00E153BD">
        <w:rPr>
          <w:rFonts w:hint="eastAsia"/>
          <w:sz w:val="28"/>
        </w:rPr>
        <w:t>3</w:t>
      </w:r>
      <w:r w:rsidR="00E153BD">
        <w:rPr>
          <w:sz w:val="28"/>
        </w:rPr>
        <w:t>4</w:t>
      </w:r>
      <w:r w:rsidR="00E153BD">
        <w:rPr>
          <w:rFonts w:hint="eastAsia"/>
          <w:sz w:val="28"/>
        </w:rPr>
        <w:t>美元，收至</w:t>
      </w:r>
      <w:r w:rsidR="00E153BD">
        <w:rPr>
          <w:rFonts w:hint="eastAsia"/>
          <w:sz w:val="28"/>
        </w:rPr>
        <w:t>3</w:t>
      </w:r>
      <w:r w:rsidR="00E153BD">
        <w:rPr>
          <w:sz w:val="28"/>
        </w:rPr>
        <w:t>466</w:t>
      </w:r>
      <w:r w:rsidR="00E153BD">
        <w:rPr>
          <w:rFonts w:hint="eastAsia"/>
          <w:sz w:val="28"/>
        </w:rPr>
        <w:t>；国内</w:t>
      </w:r>
      <w:r w:rsidRPr="005A7EFF">
        <w:rPr>
          <w:rFonts w:hint="eastAsia"/>
          <w:sz w:val="28"/>
        </w:rPr>
        <w:t>黄金期货主力合约收至</w:t>
      </w:r>
      <w:r>
        <w:rPr>
          <w:sz w:val="28"/>
        </w:rPr>
        <w:t>8</w:t>
      </w:r>
      <w:r w:rsidR="00E153BD">
        <w:rPr>
          <w:sz w:val="28"/>
        </w:rPr>
        <w:t>31</w:t>
      </w:r>
      <w:r>
        <w:rPr>
          <w:sz w:val="28"/>
        </w:rPr>
        <w:t>.</w:t>
      </w:r>
      <w:r w:rsidR="00E153BD">
        <w:rPr>
          <w:sz w:val="28"/>
        </w:rPr>
        <w:t>42</w:t>
      </w:r>
      <w:r w:rsidRPr="005A7EFF">
        <w:rPr>
          <w:rFonts w:hint="eastAsia"/>
          <w:sz w:val="28"/>
        </w:rPr>
        <w:t>元</w:t>
      </w:r>
      <w:r w:rsidRPr="005A7EFF">
        <w:rPr>
          <w:rFonts w:hint="eastAsia"/>
          <w:sz w:val="28"/>
        </w:rPr>
        <w:t>/</w:t>
      </w:r>
      <w:r w:rsidRPr="005A7EFF">
        <w:rPr>
          <w:rFonts w:hint="eastAsia"/>
          <w:sz w:val="28"/>
        </w:rPr>
        <w:t>克，上涨</w:t>
      </w:r>
      <w:r w:rsidR="00E153BD">
        <w:rPr>
          <w:sz w:val="28"/>
        </w:rPr>
        <w:t>4</w:t>
      </w:r>
      <w:r>
        <w:rPr>
          <w:sz w:val="28"/>
        </w:rPr>
        <w:t>.</w:t>
      </w:r>
      <w:r w:rsidR="00E153BD">
        <w:rPr>
          <w:sz w:val="28"/>
        </w:rPr>
        <w:t>13</w:t>
      </w:r>
      <w:r w:rsidRPr="005A7EFF">
        <w:rPr>
          <w:rFonts w:hint="eastAsia"/>
          <w:sz w:val="28"/>
        </w:rPr>
        <w:t>%</w:t>
      </w:r>
      <w:r w:rsidR="001C632F">
        <w:rPr>
          <w:rFonts w:hint="eastAsia"/>
          <w:sz w:val="28"/>
        </w:rPr>
        <w:t>；白银受大宗商品疲软影响，相比黄金羸弱</w:t>
      </w:r>
      <w:r w:rsidRPr="005A7EFF">
        <w:rPr>
          <w:rFonts w:hint="eastAsia"/>
          <w:sz w:val="28"/>
        </w:rPr>
        <w:t>，收至</w:t>
      </w:r>
      <w:r>
        <w:rPr>
          <w:sz w:val="28"/>
        </w:rPr>
        <w:t>8</w:t>
      </w:r>
      <w:r w:rsidR="00E153BD">
        <w:rPr>
          <w:sz w:val="28"/>
        </w:rPr>
        <w:t>17</w:t>
      </w:r>
      <w:r>
        <w:rPr>
          <w:sz w:val="28"/>
        </w:rPr>
        <w:t>7</w:t>
      </w:r>
      <w:r w:rsidRPr="005A7EFF">
        <w:rPr>
          <w:rFonts w:hint="eastAsia"/>
          <w:sz w:val="28"/>
        </w:rPr>
        <w:t>元</w:t>
      </w:r>
      <w:r w:rsidRPr="005A7EFF">
        <w:rPr>
          <w:rFonts w:hint="eastAsia"/>
          <w:sz w:val="28"/>
        </w:rPr>
        <w:t>/</w:t>
      </w:r>
      <w:r>
        <w:rPr>
          <w:rFonts w:hint="eastAsia"/>
          <w:sz w:val="28"/>
        </w:rPr>
        <w:t>千</w:t>
      </w:r>
      <w:r w:rsidRPr="005A7EFF">
        <w:rPr>
          <w:rFonts w:hint="eastAsia"/>
          <w:sz w:val="28"/>
        </w:rPr>
        <w:t>克，</w:t>
      </w:r>
      <w:r w:rsidR="00E153BD">
        <w:rPr>
          <w:rFonts w:hint="eastAsia"/>
          <w:sz w:val="28"/>
        </w:rPr>
        <w:t>下跌</w:t>
      </w:r>
      <w:r w:rsidR="00E153BD">
        <w:rPr>
          <w:rFonts w:hint="eastAsia"/>
          <w:sz w:val="28"/>
        </w:rPr>
        <w:t>-</w:t>
      </w:r>
      <w:r w:rsidR="00E153BD">
        <w:rPr>
          <w:sz w:val="28"/>
        </w:rPr>
        <w:t>0.2</w:t>
      </w:r>
      <w:r w:rsidRPr="005A7EFF">
        <w:rPr>
          <w:rFonts w:hint="eastAsia"/>
          <w:sz w:val="28"/>
        </w:rPr>
        <w:t>%</w:t>
      </w:r>
      <w:r w:rsidRPr="005A7EFF">
        <w:rPr>
          <w:rFonts w:hint="eastAsia"/>
          <w:sz w:val="28"/>
        </w:rPr>
        <w:t>。</w:t>
      </w:r>
    </w:p>
    <w:p w:rsidR="00FB3B58" w:rsidRDefault="00FB3B58" w:rsidP="001C632F">
      <w:pPr>
        <w:ind w:right="278" w:firstLineChars="200" w:firstLine="560"/>
        <w:jc w:val="left"/>
        <w:rPr>
          <w:sz w:val="28"/>
        </w:rPr>
      </w:pPr>
      <w:r>
        <w:rPr>
          <w:rFonts w:hint="eastAsia"/>
          <w:sz w:val="28"/>
        </w:rPr>
        <w:t>昨日</w:t>
      </w:r>
      <w:bookmarkStart w:id="5" w:name="OLE_LINK12"/>
      <w:bookmarkStart w:id="6" w:name="OLE_LINK13"/>
      <w:r>
        <w:rPr>
          <w:rFonts w:hint="eastAsia"/>
          <w:sz w:val="28"/>
        </w:rPr>
        <w:t>特朗普表示“谈判成功的黄金法则：拥有黄金者制定规则”，即谁有黄金谁占主导。在当下经济走弱及信用货币不稳定的大背景下，特朗普的讲话</w:t>
      </w:r>
      <w:r w:rsidR="00667AED">
        <w:rPr>
          <w:rFonts w:hint="eastAsia"/>
          <w:sz w:val="28"/>
        </w:rPr>
        <w:t>其实在暗示美元背后可能面临较大风险，加剧了市场恐慌情绪。</w:t>
      </w:r>
    </w:p>
    <w:bookmarkEnd w:id="5"/>
    <w:bookmarkEnd w:id="6"/>
    <w:p w:rsidR="00085814" w:rsidRDefault="00667AED" w:rsidP="00085814">
      <w:pPr>
        <w:ind w:right="278" w:firstLineChars="200" w:firstLine="560"/>
        <w:jc w:val="left"/>
        <w:rPr>
          <w:rFonts w:hint="eastAsia"/>
          <w:sz w:val="28"/>
        </w:rPr>
      </w:pPr>
      <w:r>
        <w:rPr>
          <w:rFonts w:hint="eastAsia"/>
          <w:sz w:val="28"/>
        </w:rPr>
        <w:t>另外，</w:t>
      </w:r>
      <w:r w:rsidR="00FB3B58">
        <w:rPr>
          <w:rFonts w:hint="eastAsia"/>
          <w:sz w:val="28"/>
        </w:rPr>
        <w:t>美联储与白宫就降息问题出现明显分歧，芝加哥联储主席警告不要限制央行独立性，称货币政策需要免受政治干扰。表明美联储继续坚持不急于降息的态度</w:t>
      </w:r>
      <w:r w:rsidR="00085814">
        <w:rPr>
          <w:rFonts w:hint="eastAsia"/>
          <w:sz w:val="28"/>
        </w:rPr>
        <w:t>，</w:t>
      </w:r>
      <w:r w:rsidR="001C632F">
        <w:rPr>
          <w:rFonts w:hint="eastAsia"/>
          <w:sz w:val="28"/>
        </w:rPr>
        <w:t>也加剧了美国爆发债务问题的风险，因此美元暴雷可能是下一步潜在较大的利多因素，我们继续关注今年全球宏观走弱的风险。</w:t>
      </w:r>
    </w:p>
    <w:p w:rsidR="005A7EFF" w:rsidRDefault="005A7EFF" w:rsidP="001C632F">
      <w:pPr>
        <w:ind w:right="278" w:firstLineChars="200" w:firstLine="560"/>
        <w:jc w:val="left"/>
        <w:rPr>
          <w:sz w:val="28"/>
        </w:rPr>
      </w:pPr>
      <w:bookmarkStart w:id="7" w:name="_GoBack"/>
      <w:bookmarkEnd w:id="7"/>
      <w:r w:rsidRPr="005A7EFF">
        <w:rPr>
          <w:rFonts w:hint="eastAsia"/>
          <w:sz w:val="28"/>
        </w:rPr>
        <w:t>观点：</w:t>
      </w:r>
      <w:r w:rsidR="00085814">
        <w:rPr>
          <w:rFonts w:hint="eastAsia"/>
          <w:sz w:val="28"/>
        </w:rPr>
        <w:t>短线面临压力，或有技术回调需求，下一步</w:t>
      </w:r>
      <w:r w:rsidRPr="005A7EFF">
        <w:rPr>
          <w:rFonts w:hint="eastAsia"/>
          <w:sz w:val="28"/>
        </w:rPr>
        <w:t>继续关注向上机会，前期涨幅较大，做好风险管理。</w:t>
      </w:r>
    </w:p>
    <w:bookmarkEnd w:id="0"/>
    <w:bookmarkEnd w:id="1"/>
    <w:p w:rsidR="005A7EFF" w:rsidRDefault="005A7EFF" w:rsidP="005A7EFF">
      <w:pPr>
        <w:ind w:right="280"/>
        <w:jc w:val="left"/>
        <w:rPr>
          <w:sz w:val="28"/>
        </w:rPr>
      </w:pP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8" w:name="OLE_LINK4"/>
      <w:bookmarkStart w:id="9" w:name="OLE_LINK5"/>
      <w:bookmarkStart w:id="10" w:name="OLE_LINK8"/>
      <w:bookmarkStart w:id="11" w:name="OLE_LINK9"/>
      <w:bookmarkStart w:id="12" w:name="OLE_LINK10"/>
      <w:bookmarkStart w:id="13" w:name="OLE_LINK11"/>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8"/>
      <w:bookmarkEnd w:id="9"/>
      <w:bookmarkEnd w:id="10"/>
      <w:bookmarkEnd w:id="11"/>
      <w:bookmarkEnd w:id="12"/>
      <w:bookmarkEnd w:id="13"/>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E3E" w:rsidRDefault="00720E3E" w:rsidP="00C357E3">
      <w:r>
        <w:separator/>
      </w:r>
    </w:p>
  </w:endnote>
  <w:endnote w:type="continuationSeparator" w:id="0">
    <w:p w:rsidR="00720E3E" w:rsidRDefault="00720E3E"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E3E" w:rsidRDefault="00720E3E" w:rsidP="00C357E3">
      <w:r>
        <w:separator/>
      </w:r>
    </w:p>
  </w:footnote>
  <w:footnote w:type="continuationSeparator" w:id="0">
    <w:p w:rsidR="00720E3E" w:rsidRDefault="00720E3E"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14959"/>
    <w:rsid w:val="0002500B"/>
    <w:rsid w:val="00067B31"/>
    <w:rsid w:val="000728A9"/>
    <w:rsid w:val="00085814"/>
    <w:rsid w:val="001C632F"/>
    <w:rsid w:val="00206377"/>
    <w:rsid w:val="002D723D"/>
    <w:rsid w:val="003578CE"/>
    <w:rsid w:val="00377BE3"/>
    <w:rsid w:val="003939C1"/>
    <w:rsid w:val="003A0FA5"/>
    <w:rsid w:val="00410B67"/>
    <w:rsid w:val="00433F3B"/>
    <w:rsid w:val="00455B3C"/>
    <w:rsid w:val="00471551"/>
    <w:rsid w:val="004B5C9A"/>
    <w:rsid w:val="005129B5"/>
    <w:rsid w:val="00564D8E"/>
    <w:rsid w:val="0056635F"/>
    <w:rsid w:val="005848D7"/>
    <w:rsid w:val="005A7EFF"/>
    <w:rsid w:val="005F48A3"/>
    <w:rsid w:val="0062598F"/>
    <w:rsid w:val="00642B6D"/>
    <w:rsid w:val="00667AED"/>
    <w:rsid w:val="00691F65"/>
    <w:rsid w:val="00720E3E"/>
    <w:rsid w:val="00750F24"/>
    <w:rsid w:val="00794B17"/>
    <w:rsid w:val="007A7709"/>
    <w:rsid w:val="008974EB"/>
    <w:rsid w:val="008B3304"/>
    <w:rsid w:val="008F28C4"/>
    <w:rsid w:val="00966CD4"/>
    <w:rsid w:val="0097215C"/>
    <w:rsid w:val="0098622C"/>
    <w:rsid w:val="009B238F"/>
    <w:rsid w:val="009F1E53"/>
    <w:rsid w:val="00A03A60"/>
    <w:rsid w:val="00A712C0"/>
    <w:rsid w:val="00A91F3A"/>
    <w:rsid w:val="00AB1A44"/>
    <w:rsid w:val="00AB2A73"/>
    <w:rsid w:val="00B7100D"/>
    <w:rsid w:val="00BA7591"/>
    <w:rsid w:val="00C357E3"/>
    <w:rsid w:val="00C42276"/>
    <w:rsid w:val="00CA2970"/>
    <w:rsid w:val="00CE0EA1"/>
    <w:rsid w:val="00D93CF4"/>
    <w:rsid w:val="00E153BD"/>
    <w:rsid w:val="00E31667"/>
    <w:rsid w:val="00E55DA0"/>
    <w:rsid w:val="00ED60A0"/>
    <w:rsid w:val="00F0665F"/>
    <w:rsid w:val="00F23975"/>
    <w:rsid w:val="00F54372"/>
    <w:rsid w:val="00F73741"/>
    <w:rsid w:val="00F8423E"/>
    <w:rsid w:val="00FB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DC9E4"/>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2025-04-15T08:25:00Z</dcterms:created>
  <dcterms:modified xsi:type="dcterms:W3CDTF">2025-04-22T08:15:00Z</dcterms:modified>
</cp:coreProperties>
</file>